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09BF6234" w:rsidR="003D648D" w:rsidRPr="00712873" w:rsidRDefault="005C0D9E" w:rsidP="00BA77B8">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ind w:right="545"/>
        <w:jc w:val="center"/>
        <w:rPr>
          <w:sz w:val="32"/>
          <w:szCs w:val="32"/>
        </w:rPr>
      </w:pPr>
      <w:r>
        <w:rPr>
          <w:sz w:val="32"/>
        </w:rPr>
        <w:t xml:space="preserve">Typologie van de </w:t>
      </w:r>
      <w:r w:rsidR="00E93183">
        <w:rPr>
          <w:sz w:val="32"/>
        </w:rPr>
        <w:t xml:space="preserve">AML </w:t>
      </w:r>
      <w:r>
        <w:rPr>
          <w:sz w:val="32"/>
        </w:rPr>
        <w:t>risico’s– Nachtwinkel/Tabak-alcohol/Telefonie</w:t>
      </w:r>
    </w:p>
    <w:p w14:paraId="19769413" w14:textId="77777777" w:rsidR="00AD5688" w:rsidRPr="005129E9" w:rsidRDefault="00AD5688" w:rsidP="00BA77B8">
      <w:pPr>
        <w:pStyle w:val="Corpsdetexte"/>
        <w:ind w:left="567" w:right="545"/>
        <w:jc w:val="both"/>
        <w:rPr>
          <w:rFonts w:asciiTheme="minorHAnsi" w:eastAsiaTheme="minorHAnsi" w:hAnsiTheme="minorHAnsi" w:cstheme="minorBidi"/>
          <w:sz w:val="16"/>
          <w:szCs w:val="16"/>
        </w:rPr>
      </w:pPr>
    </w:p>
    <w:p w14:paraId="73B8C8D9" w14:textId="7A7945C5" w:rsidR="00DC17F8" w:rsidRDefault="00DC17F8" w:rsidP="00BA77B8">
      <w:pPr>
        <w:pStyle w:val="Corpsdetexte"/>
        <w:ind w:left="567" w:right="545"/>
        <w:jc w:val="both"/>
        <w:rPr>
          <w:rFonts w:asciiTheme="minorHAnsi" w:eastAsiaTheme="minorHAnsi" w:hAnsiTheme="minorHAnsi" w:cstheme="minorBidi"/>
          <w:sz w:val="24"/>
          <w:szCs w:val="24"/>
        </w:rPr>
      </w:pPr>
      <w:r>
        <w:rPr>
          <w:rFonts w:asciiTheme="minorHAnsi" w:hAnsiTheme="minorHAnsi"/>
          <w:sz w:val="24"/>
        </w:rPr>
        <w:t xml:space="preserve">Deze groep omvat voornamelijk nachtwinkels, kleinhandelaars in tabakswaren en winkels die telefoonkaarten verkopen. De enige preventieve bepaling met betrekking tot deze handelaars is het algemene verbod om enige betaling in contanten te aanvaarden voor goederen of diensten met een waarde van meer dan 3 000 EUR. </w:t>
      </w:r>
    </w:p>
    <w:p w14:paraId="43C8160C" w14:textId="6E029270" w:rsidR="00DC17F8" w:rsidRDefault="00ED21C6" w:rsidP="00BA77B8">
      <w:pPr>
        <w:pStyle w:val="Corpsdetexte"/>
        <w:spacing w:line="247" w:lineRule="auto"/>
        <w:ind w:left="567" w:right="545"/>
        <w:jc w:val="both"/>
        <w:rPr>
          <w:rFonts w:asciiTheme="minorHAnsi" w:eastAsiaTheme="minorHAnsi" w:hAnsiTheme="minorHAnsi" w:cstheme="minorBidi"/>
          <w:sz w:val="24"/>
          <w:szCs w:val="24"/>
        </w:rPr>
      </w:pPr>
      <w:r>
        <w:rPr>
          <w:rFonts w:asciiTheme="minorHAnsi" w:hAnsiTheme="minorHAnsi"/>
          <w:sz w:val="24"/>
        </w:rPr>
        <w:t xml:space="preserve">Handelaars in telefoonkaarten worden veel gebruikt om telefoonkaarten uit btw-fraudecircuits op de zware markt te verhandelen. </w:t>
      </w:r>
    </w:p>
    <w:p w14:paraId="38E7E87D" w14:textId="21252E1A" w:rsidR="00DC17F8" w:rsidRDefault="00DC17F8" w:rsidP="00BA77B8">
      <w:pPr>
        <w:pStyle w:val="Corpsdetexte"/>
        <w:spacing w:line="247" w:lineRule="auto"/>
        <w:ind w:left="567" w:right="545"/>
        <w:jc w:val="both"/>
        <w:rPr>
          <w:rFonts w:asciiTheme="minorHAnsi" w:eastAsiaTheme="minorHAnsi" w:hAnsiTheme="minorHAnsi" w:cstheme="minorBidi"/>
          <w:sz w:val="24"/>
          <w:szCs w:val="24"/>
        </w:rPr>
      </w:pPr>
      <w:r>
        <w:rPr>
          <w:rFonts w:asciiTheme="minorHAnsi" w:hAnsiTheme="minorHAnsi"/>
          <w:sz w:val="24"/>
        </w:rPr>
        <w:t xml:space="preserve">Bovendien worden er in verschillende zaken schijnzelfstandigen of stromannen gebruikt als zaakvoerders. </w:t>
      </w:r>
    </w:p>
    <w:p w14:paraId="1EF4357D" w14:textId="77777777" w:rsidR="00DC17F8" w:rsidRDefault="00DC17F8" w:rsidP="00BA77B8">
      <w:pPr>
        <w:pStyle w:val="Corpsdetexte"/>
        <w:spacing w:line="247" w:lineRule="auto"/>
        <w:ind w:left="567" w:right="545"/>
        <w:jc w:val="both"/>
        <w:rPr>
          <w:rFonts w:asciiTheme="minorHAnsi" w:eastAsiaTheme="minorHAnsi" w:hAnsiTheme="minorHAnsi" w:cstheme="minorBidi"/>
          <w:sz w:val="24"/>
          <w:szCs w:val="24"/>
        </w:rPr>
      </w:pPr>
      <w:r>
        <w:rPr>
          <w:rFonts w:asciiTheme="minorHAnsi" w:hAnsiTheme="minorHAnsi"/>
          <w:sz w:val="24"/>
        </w:rPr>
        <w:t xml:space="preserve">Andere kenmerken die vaak terugkeren zijn: vage en ruime maatschappelijke doelen, ondoorzichtige boekhouding, zwartwerk en een ongewoon hoog omzetcijfer in verhouding met de economische werkelijkheid. </w:t>
      </w:r>
    </w:p>
    <w:p w14:paraId="55D2A30D" w14:textId="33CEC8A5" w:rsidR="00DC17F8" w:rsidRPr="00DC17F8" w:rsidRDefault="00DC17F8" w:rsidP="00BA77B8">
      <w:pPr>
        <w:pStyle w:val="Corpsdetexte"/>
        <w:spacing w:line="247" w:lineRule="auto"/>
        <w:ind w:left="567" w:right="545"/>
        <w:jc w:val="both"/>
        <w:rPr>
          <w:rFonts w:asciiTheme="minorHAnsi" w:eastAsiaTheme="minorHAnsi" w:hAnsiTheme="minorHAnsi" w:cstheme="minorBidi"/>
          <w:sz w:val="24"/>
          <w:szCs w:val="24"/>
        </w:rPr>
      </w:pPr>
      <w:r>
        <w:rPr>
          <w:rFonts w:asciiTheme="minorHAnsi" w:hAnsiTheme="minorHAnsi"/>
          <w:sz w:val="24"/>
        </w:rPr>
        <w:t xml:space="preserve">Door de beschikbaarheid van contanten kunnen informele systemen voor geldverzending (ondergronds bankieren zoals </w:t>
      </w:r>
      <w:proofErr w:type="spellStart"/>
      <w:r>
        <w:rPr>
          <w:rFonts w:asciiTheme="minorHAnsi" w:hAnsiTheme="minorHAnsi"/>
          <w:sz w:val="24"/>
        </w:rPr>
        <w:t>hawala</w:t>
      </w:r>
      <w:proofErr w:type="spellEnd"/>
      <w:r>
        <w:rPr>
          <w:rFonts w:asciiTheme="minorHAnsi" w:hAnsiTheme="minorHAnsi"/>
          <w:sz w:val="24"/>
        </w:rPr>
        <w:t>) worden gebruikt.</w:t>
      </w:r>
    </w:p>
    <w:p w14:paraId="1ADE3B49" w14:textId="099A40FA" w:rsidR="00CB3977" w:rsidRPr="000D0F8A" w:rsidRDefault="00CB3977" w:rsidP="00BA77B8">
      <w:pPr>
        <w:pStyle w:val="Paragraphedeliste"/>
        <w:numPr>
          <w:ilvl w:val="0"/>
          <w:numId w:val="1"/>
        </w:numPr>
        <w:spacing w:before="240"/>
        <w:ind w:left="714" w:right="545" w:hanging="357"/>
        <w:rPr>
          <w:color w:val="4472C4" w:themeColor="accent1"/>
          <w:sz w:val="28"/>
          <w:szCs w:val="28"/>
          <w:u w:val="single" w:color="4472C4" w:themeColor="accent1"/>
        </w:rPr>
      </w:pPr>
      <w:r w:rsidRPr="000D0F8A">
        <w:rPr>
          <w:color w:val="4472C4" w:themeColor="accent1"/>
          <w:sz w:val="28"/>
          <w:u w:val="single" w:color="4472C4" w:themeColor="accent1"/>
        </w:rPr>
        <w:t>Principe</w:t>
      </w:r>
    </w:p>
    <w:p w14:paraId="05E21A76" w14:textId="729DD6B2" w:rsidR="00ED21C6" w:rsidRPr="004913EC" w:rsidRDefault="00ED21C6" w:rsidP="00BA77B8">
      <w:pPr>
        <w:autoSpaceDE w:val="0"/>
        <w:autoSpaceDN w:val="0"/>
        <w:adjustRightInd w:val="0"/>
        <w:spacing w:after="0" w:line="240" w:lineRule="auto"/>
        <w:ind w:left="567" w:right="545"/>
        <w:jc w:val="both"/>
        <w:rPr>
          <w:rFonts w:cstheme="minorHAnsi"/>
          <w:sz w:val="24"/>
          <w:szCs w:val="24"/>
        </w:rPr>
      </w:pPr>
      <w:r w:rsidRPr="004913EC">
        <w:rPr>
          <w:rFonts w:cstheme="minorHAnsi"/>
          <w:sz w:val="24"/>
          <w:szCs w:val="24"/>
        </w:rPr>
        <w:t>De fraudeschema’s berusten op intracommunautaire verrichtingen en behelzen klassiek de aankoop van telefoonkaarten bij groothandelaars die via een omweg op de zwarte markt zullen worden gebracht</w:t>
      </w:r>
      <w:r w:rsidR="001344B4" w:rsidRPr="004913EC">
        <w:rPr>
          <w:rFonts w:cstheme="minorHAnsi"/>
          <w:sz w:val="24"/>
          <w:szCs w:val="24"/>
        </w:rPr>
        <w:t>.</w:t>
      </w:r>
      <w:r w:rsidRPr="004913EC">
        <w:rPr>
          <w:rFonts w:cstheme="minorHAnsi"/>
          <w:sz w:val="24"/>
          <w:szCs w:val="24"/>
        </w:rPr>
        <w:t xml:space="preserve"> Meestal worden belangrijke sommen geld (meer dan een miljoen euro en vermoedelijk voortkomend uit de verkoop van telefoonkaarten in het zwart) gestort op de rekening van een telefoniebedrijf. In bepaalde gevallen is de leverancier die de kaarten aan vele winkels in België levert een </w:t>
      </w:r>
      <w:r w:rsidRPr="004913EC">
        <w:rPr>
          <w:rFonts w:cstheme="minorHAnsi"/>
          <w:i/>
          <w:iCs/>
          <w:sz w:val="24"/>
          <w:szCs w:val="24"/>
        </w:rPr>
        <w:t xml:space="preserve">missing </w:t>
      </w:r>
      <w:proofErr w:type="spellStart"/>
      <w:r w:rsidRPr="004913EC">
        <w:rPr>
          <w:rFonts w:cstheme="minorHAnsi"/>
          <w:i/>
          <w:iCs/>
          <w:sz w:val="24"/>
          <w:szCs w:val="24"/>
        </w:rPr>
        <w:t>trader</w:t>
      </w:r>
      <w:proofErr w:type="spellEnd"/>
      <w:r w:rsidRPr="004913EC">
        <w:rPr>
          <w:rFonts w:cstheme="minorHAnsi"/>
          <w:sz w:val="24"/>
          <w:szCs w:val="24"/>
        </w:rPr>
        <w:t xml:space="preserve"> en dient hij geen btw-aangifte bij de belastingdienst in. In dat geval kunnen de volgende verdachte elementen de aandacht van de melders en de overheden trekken:</w:t>
      </w:r>
    </w:p>
    <w:p w14:paraId="23590619" w14:textId="294BA8CD" w:rsidR="00495A19" w:rsidRPr="004913EC" w:rsidRDefault="00495A19" w:rsidP="00BA77B8">
      <w:pPr>
        <w:autoSpaceDE w:val="0"/>
        <w:autoSpaceDN w:val="0"/>
        <w:adjustRightInd w:val="0"/>
        <w:spacing w:after="0" w:line="240" w:lineRule="auto"/>
        <w:ind w:left="567" w:right="545"/>
        <w:jc w:val="both"/>
        <w:rPr>
          <w:rFonts w:cstheme="minorHAnsi"/>
          <w:sz w:val="24"/>
          <w:szCs w:val="24"/>
        </w:rPr>
      </w:pPr>
    </w:p>
    <w:p w14:paraId="094580AC" w14:textId="44C92F5B" w:rsidR="00495A19" w:rsidRPr="004913EC" w:rsidRDefault="00495A19" w:rsidP="00BA77B8">
      <w:pPr>
        <w:pStyle w:val="Paragraphedeliste"/>
        <w:numPr>
          <w:ilvl w:val="0"/>
          <w:numId w:val="21"/>
        </w:numPr>
        <w:autoSpaceDE w:val="0"/>
        <w:autoSpaceDN w:val="0"/>
        <w:adjustRightInd w:val="0"/>
        <w:spacing w:after="0" w:line="240" w:lineRule="auto"/>
        <w:ind w:left="1208" w:right="545" w:hanging="357"/>
        <w:jc w:val="both"/>
        <w:rPr>
          <w:rFonts w:cstheme="minorHAnsi"/>
          <w:sz w:val="24"/>
          <w:szCs w:val="24"/>
        </w:rPr>
      </w:pPr>
      <w:r w:rsidRPr="004913EC">
        <w:rPr>
          <w:rFonts w:cstheme="minorHAnsi"/>
          <w:sz w:val="24"/>
          <w:szCs w:val="24"/>
        </w:rPr>
        <w:t>Plotse explosieve toename van het omzetcijfer;</w:t>
      </w:r>
    </w:p>
    <w:p w14:paraId="583EA868" w14:textId="228554B2" w:rsidR="00495A19" w:rsidRPr="004913EC" w:rsidRDefault="00495A19" w:rsidP="00BA77B8">
      <w:pPr>
        <w:pStyle w:val="Paragraphedeliste"/>
        <w:numPr>
          <w:ilvl w:val="0"/>
          <w:numId w:val="21"/>
        </w:numPr>
        <w:autoSpaceDE w:val="0"/>
        <w:autoSpaceDN w:val="0"/>
        <w:adjustRightInd w:val="0"/>
        <w:spacing w:after="0" w:line="240" w:lineRule="auto"/>
        <w:ind w:left="1208" w:right="545" w:hanging="357"/>
        <w:jc w:val="both"/>
        <w:rPr>
          <w:rFonts w:cstheme="minorHAnsi"/>
          <w:sz w:val="24"/>
          <w:szCs w:val="24"/>
        </w:rPr>
      </w:pPr>
      <w:r w:rsidRPr="004913EC">
        <w:rPr>
          <w:rFonts w:cstheme="minorHAnsi"/>
          <w:sz w:val="24"/>
          <w:szCs w:val="24"/>
        </w:rPr>
        <w:t xml:space="preserve">Gebruik van een rekening geopend in België voor verrichtingen die zowel langs debet- als langs creditzijde uitsluitend verrichtingen met een bepaalde derde </w:t>
      </w:r>
      <w:proofErr w:type="spellStart"/>
      <w:r w:rsidR="007A1FFA" w:rsidRPr="004913EC">
        <w:rPr>
          <w:rFonts w:cstheme="minorHAnsi"/>
          <w:sz w:val="24"/>
          <w:szCs w:val="24"/>
        </w:rPr>
        <w:t>S</w:t>
      </w:r>
      <w:r w:rsidRPr="004913EC">
        <w:rPr>
          <w:rFonts w:cstheme="minorHAnsi"/>
          <w:sz w:val="24"/>
          <w:szCs w:val="24"/>
        </w:rPr>
        <w:t>taat</w:t>
      </w:r>
      <w:r w:rsidR="002F4A69" w:rsidRPr="004913EC">
        <w:rPr>
          <w:rFonts w:cstheme="minorHAnsi"/>
          <w:sz w:val="24"/>
          <w:szCs w:val="24"/>
        </w:rPr>
        <w:t>registreren</w:t>
      </w:r>
      <w:proofErr w:type="spellEnd"/>
      <w:r w:rsidRPr="004913EC">
        <w:rPr>
          <w:rFonts w:cstheme="minorHAnsi"/>
          <w:sz w:val="24"/>
          <w:szCs w:val="24"/>
        </w:rPr>
        <w:t>;</w:t>
      </w:r>
    </w:p>
    <w:p w14:paraId="76CF7D29" w14:textId="77777777" w:rsidR="00495A19" w:rsidRPr="004913EC" w:rsidRDefault="00495A19" w:rsidP="00BA77B8">
      <w:pPr>
        <w:pStyle w:val="Paragraphedeliste"/>
        <w:numPr>
          <w:ilvl w:val="0"/>
          <w:numId w:val="21"/>
        </w:numPr>
        <w:autoSpaceDE w:val="0"/>
        <w:autoSpaceDN w:val="0"/>
        <w:adjustRightInd w:val="0"/>
        <w:spacing w:after="0" w:line="240" w:lineRule="auto"/>
        <w:ind w:left="1208" w:right="545" w:hanging="357"/>
        <w:jc w:val="both"/>
        <w:rPr>
          <w:rFonts w:cstheme="minorHAnsi"/>
          <w:sz w:val="24"/>
          <w:szCs w:val="24"/>
        </w:rPr>
      </w:pPr>
      <w:r w:rsidRPr="004913EC">
        <w:rPr>
          <w:rFonts w:cstheme="minorHAnsi"/>
          <w:sz w:val="24"/>
          <w:szCs w:val="24"/>
        </w:rPr>
        <w:t>Onderbrenging in een domicilievennootschap of in een particuliere woning;</w:t>
      </w:r>
    </w:p>
    <w:p w14:paraId="050577A0" w14:textId="66EEC3FB" w:rsidR="00495A19" w:rsidRPr="004913EC" w:rsidRDefault="00495A19" w:rsidP="00BA77B8">
      <w:pPr>
        <w:pStyle w:val="Paragraphedeliste"/>
        <w:numPr>
          <w:ilvl w:val="0"/>
          <w:numId w:val="21"/>
        </w:numPr>
        <w:autoSpaceDE w:val="0"/>
        <w:autoSpaceDN w:val="0"/>
        <w:adjustRightInd w:val="0"/>
        <w:spacing w:after="0" w:line="240" w:lineRule="auto"/>
        <w:ind w:left="1208" w:right="545" w:hanging="357"/>
        <w:jc w:val="both"/>
        <w:rPr>
          <w:rFonts w:cstheme="minorHAnsi"/>
          <w:sz w:val="24"/>
          <w:szCs w:val="24"/>
        </w:rPr>
      </w:pPr>
      <w:r w:rsidRPr="004913EC">
        <w:rPr>
          <w:rFonts w:cstheme="minorHAnsi"/>
          <w:sz w:val="24"/>
          <w:szCs w:val="24"/>
        </w:rPr>
        <w:t>Belastingaangifte bevat geen enkele vermelding van vaste of vlottende activa, noch van lonen;</w:t>
      </w:r>
    </w:p>
    <w:p w14:paraId="3DCAF8B6" w14:textId="0D5E2C2D" w:rsidR="00495A19" w:rsidRPr="004913EC" w:rsidRDefault="00495A19" w:rsidP="00BA77B8">
      <w:pPr>
        <w:pStyle w:val="Paragraphedeliste"/>
        <w:numPr>
          <w:ilvl w:val="0"/>
          <w:numId w:val="21"/>
        </w:numPr>
        <w:autoSpaceDE w:val="0"/>
        <w:autoSpaceDN w:val="0"/>
        <w:adjustRightInd w:val="0"/>
        <w:spacing w:after="0" w:line="240" w:lineRule="auto"/>
        <w:ind w:left="1208" w:right="545" w:hanging="357"/>
        <w:jc w:val="both"/>
        <w:rPr>
          <w:rFonts w:cstheme="minorHAnsi"/>
          <w:sz w:val="24"/>
          <w:szCs w:val="24"/>
        </w:rPr>
      </w:pPr>
      <w:r w:rsidRPr="004913EC">
        <w:rPr>
          <w:rFonts w:cstheme="minorHAnsi"/>
          <w:sz w:val="24"/>
          <w:szCs w:val="24"/>
        </w:rPr>
        <w:t xml:space="preserve">Afwezigheid van een </w:t>
      </w:r>
      <w:r w:rsidR="001E163C" w:rsidRPr="004913EC">
        <w:rPr>
          <w:rFonts w:cstheme="minorHAnsi"/>
          <w:sz w:val="24"/>
          <w:szCs w:val="24"/>
        </w:rPr>
        <w:t xml:space="preserve">bijkantoor </w:t>
      </w:r>
      <w:proofErr w:type="spellStart"/>
      <w:r w:rsidRPr="004913EC">
        <w:rPr>
          <w:rFonts w:cstheme="minorHAnsi"/>
          <w:sz w:val="24"/>
          <w:szCs w:val="24"/>
        </w:rPr>
        <w:t>of</w:t>
      </w:r>
      <w:r w:rsidR="001E163C" w:rsidRPr="004913EC">
        <w:rPr>
          <w:rFonts w:cstheme="minorHAnsi"/>
          <w:sz w:val="24"/>
          <w:szCs w:val="24"/>
        </w:rPr>
        <w:t>magazijn</w:t>
      </w:r>
      <w:proofErr w:type="spellEnd"/>
      <w:r w:rsidR="001E163C" w:rsidRPr="004913EC" w:rsidDel="001E163C">
        <w:rPr>
          <w:rFonts w:cstheme="minorHAnsi"/>
          <w:sz w:val="24"/>
          <w:szCs w:val="24"/>
        </w:rPr>
        <w:t xml:space="preserve"> </w:t>
      </w:r>
      <w:r w:rsidRPr="004913EC">
        <w:rPr>
          <w:rFonts w:cstheme="minorHAnsi"/>
          <w:sz w:val="24"/>
          <w:szCs w:val="24"/>
        </w:rPr>
        <w:t>;</w:t>
      </w:r>
    </w:p>
    <w:p w14:paraId="2EB431D0" w14:textId="77777777" w:rsidR="00495A19" w:rsidRPr="004913EC" w:rsidRDefault="00495A19" w:rsidP="00BA77B8">
      <w:pPr>
        <w:pStyle w:val="Paragraphedeliste"/>
        <w:numPr>
          <w:ilvl w:val="0"/>
          <w:numId w:val="21"/>
        </w:numPr>
        <w:autoSpaceDE w:val="0"/>
        <w:autoSpaceDN w:val="0"/>
        <w:adjustRightInd w:val="0"/>
        <w:spacing w:after="0" w:line="240" w:lineRule="auto"/>
        <w:ind w:left="1208" w:right="545" w:hanging="357"/>
        <w:jc w:val="both"/>
        <w:rPr>
          <w:rFonts w:cstheme="minorHAnsi"/>
          <w:sz w:val="24"/>
          <w:szCs w:val="24"/>
        </w:rPr>
      </w:pPr>
      <w:r w:rsidRPr="004913EC">
        <w:rPr>
          <w:rFonts w:cstheme="minorHAnsi"/>
          <w:sz w:val="24"/>
          <w:szCs w:val="24"/>
        </w:rPr>
        <w:t>Geen enkele inschrijving van een voertuig op naam van de vennootschap;</w:t>
      </w:r>
    </w:p>
    <w:p w14:paraId="56979165" w14:textId="5CAB0776" w:rsidR="00495A19" w:rsidRPr="004913EC" w:rsidRDefault="00495A19" w:rsidP="00BA77B8">
      <w:pPr>
        <w:pStyle w:val="Paragraphedeliste"/>
        <w:numPr>
          <w:ilvl w:val="0"/>
          <w:numId w:val="21"/>
        </w:numPr>
        <w:autoSpaceDE w:val="0"/>
        <w:autoSpaceDN w:val="0"/>
        <w:adjustRightInd w:val="0"/>
        <w:spacing w:after="0" w:line="240" w:lineRule="auto"/>
        <w:ind w:left="1208" w:right="545" w:hanging="357"/>
        <w:jc w:val="both"/>
        <w:rPr>
          <w:rFonts w:cstheme="minorHAnsi"/>
          <w:sz w:val="24"/>
          <w:szCs w:val="24"/>
        </w:rPr>
      </w:pPr>
      <w:r w:rsidRPr="004913EC">
        <w:rPr>
          <w:rFonts w:cstheme="minorHAnsi"/>
          <w:sz w:val="24"/>
          <w:szCs w:val="24"/>
        </w:rPr>
        <w:t>Stortingen in contanten op bankrekeningen die het officieel omzetcijfer van de onderneming overschrijden</w:t>
      </w:r>
      <w:r w:rsidR="00B201E8" w:rsidRPr="004913EC">
        <w:rPr>
          <w:rFonts w:cstheme="minorHAnsi"/>
          <w:sz w:val="24"/>
          <w:szCs w:val="24"/>
        </w:rPr>
        <w:t>.</w:t>
      </w:r>
    </w:p>
    <w:p w14:paraId="284A1EF2" w14:textId="77777777" w:rsidR="007821BE" w:rsidRPr="007821BE" w:rsidRDefault="007821BE" w:rsidP="007821BE">
      <w:pPr>
        <w:autoSpaceDE w:val="0"/>
        <w:autoSpaceDN w:val="0"/>
        <w:adjustRightInd w:val="0"/>
        <w:spacing w:after="0" w:line="240" w:lineRule="auto"/>
        <w:ind w:left="851" w:right="545"/>
        <w:jc w:val="both"/>
        <w:rPr>
          <w:rFonts w:ascii="CIDFont+F2" w:hAnsi="CIDFont+F2" w:cs="CIDFont+F2"/>
          <w:sz w:val="23"/>
          <w:szCs w:val="23"/>
        </w:rPr>
      </w:pPr>
    </w:p>
    <w:p w14:paraId="69BDC22C" w14:textId="257F18BF" w:rsidR="000B03AF" w:rsidRPr="000D0F8A" w:rsidRDefault="000B03AF" w:rsidP="007821BE">
      <w:pPr>
        <w:pStyle w:val="Paragraphedeliste"/>
        <w:numPr>
          <w:ilvl w:val="0"/>
          <w:numId w:val="1"/>
        </w:numPr>
        <w:spacing w:before="120" w:after="0"/>
        <w:ind w:left="714" w:right="545" w:hanging="357"/>
        <w:jc w:val="both"/>
        <w:rPr>
          <w:color w:val="4472C4" w:themeColor="accent1"/>
          <w:sz w:val="28"/>
          <w:szCs w:val="28"/>
          <w:u w:val="single" w:color="4472C4" w:themeColor="accent1"/>
        </w:rPr>
      </w:pPr>
      <w:r w:rsidRPr="000D0F8A">
        <w:rPr>
          <w:color w:val="4472C4" w:themeColor="accent1"/>
          <w:sz w:val="28"/>
          <w:u w:val="single" w:color="4472C4" w:themeColor="accent1"/>
        </w:rPr>
        <w:t>Betrokken beroepsgroep</w:t>
      </w:r>
    </w:p>
    <w:p w14:paraId="0EFC6809" w14:textId="32DBB4E0" w:rsidR="00495A19" w:rsidRDefault="000B03AF" w:rsidP="00BA77B8">
      <w:pPr>
        <w:spacing w:before="120" w:after="0"/>
        <w:ind w:left="567" w:right="545"/>
        <w:contextualSpacing/>
        <w:jc w:val="both"/>
        <w:rPr>
          <w:sz w:val="24"/>
          <w:szCs w:val="24"/>
        </w:rPr>
      </w:pPr>
      <w:r>
        <w:rPr>
          <w:sz w:val="24"/>
        </w:rPr>
        <w:t>Het is sterk waarschijnlijk dat deze sector geen invloed heeft op de commissarismandaten m</w:t>
      </w:r>
      <w:r w:rsidR="00C8639A">
        <w:rPr>
          <w:sz w:val="24"/>
        </w:rPr>
        <w:t>aa</w:t>
      </w:r>
      <w:r>
        <w:rPr>
          <w:sz w:val="24"/>
        </w:rPr>
        <w:t>r veeleer op de wettelijke opdrachten binnen ons beroep.</w:t>
      </w:r>
    </w:p>
    <w:p w14:paraId="200F8860" w14:textId="02037763" w:rsidR="00495A19" w:rsidRPr="000D0F8A" w:rsidRDefault="00495A19" w:rsidP="00BA77B8">
      <w:pPr>
        <w:pStyle w:val="Paragraphedeliste"/>
        <w:numPr>
          <w:ilvl w:val="0"/>
          <w:numId w:val="1"/>
        </w:numPr>
        <w:spacing w:before="120" w:after="0"/>
        <w:ind w:left="714" w:right="545" w:hanging="357"/>
        <w:jc w:val="both"/>
        <w:rPr>
          <w:color w:val="4472C4" w:themeColor="accent1"/>
          <w:sz w:val="28"/>
          <w:szCs w:val="28"/>
          <w:u w:val="single" w:color="4472C4" w:themeColor="accent1"/>
        </w:rPr>
      </w:pPr>
      <w:r w:rsidRPr="000D0F8A">
        <w:rPr>
          <w:color w:val="4472C4" w:themeColor="accent1"/>
          <w:sz w:val="28"/>
          <w:u w:val="single" w:color="4472C4" w:themeColor="accent1"/>
        </w:rPr>
        <w:t>Indicatoren van de dreiging</w:t>
      </w:r>
    </w:p>
    <w:p w14:paraId="5A07BE85" w14:textId="77777777" w:rsidR="00495A19" w:rsidRPr="00495A19" w:rsidRDefault="00495A19" w:rsidP="00BA77B8">
      <w:pPr>
        <w:pStyle w:val="Paragraphedeliste"/>
        <w:spacing w:before="240" w:after="0"/>
        <w:ind w:left="714" w:right="545"/>
        <w:jc w:val="both"/>
        <w:rPr>
          <w:color w:val="2F5496" w:themeColor="accent1" w:themeShade="BF"/>
          <w:sz w:val="16"/>
          <w:szCs w:val="16"/>
          <w:u w:val="single" w:color="4472C4" w:themeColor="accent1"/>
        </w:rPr>
      </w:pPr>
    </w:p>
    <w:p w14:paraId="0EEF83F9" w14:textId="77777777" w:rsidR="00495A19" w:rsidRPr="004913EC" w:rsidRDefault="00495A19" w:rsidP="00436755">
      <w:pPr>
        <w:pStyle w:val="Paragraphedeliste"/>
        <w:numPr>
          <w:ilvl w:val="0"/>
          <w:numId w:val="2"/>
        </w:numPr>
        <w:ind w:left="1151" w:right="545" w:hanging="357"/>
        <w:jc w:val="both"/>
        <w:rPr>
          <w:rFonts w:cstheme="minorHAnsi"/>
          <w:sz w:val="24"/>
          <w:szCs w:val="24"/>
        </w:rPr>
      </w:pPr>
      <w:r w:rsidRPr="004913EC">
        <w:rPr>
          <w:rFonts w:cstheme="minorHAnsi"/>
          <w:sz w:val="24"/>
          <w:szCs w:val="24"/>
        </w:rPr>
        <w:t>Aanwezigheid van winkels op het volledige grondgebied;</w:t>
      </w:r>
    </w:p>
    <w:p w14:paraId="42A219D0" w14:textId="08C8FF22" w:rsidR="00495A19" w:rsidRPr="004913EC" w:rsidRDefault="00495A19" w:rsidP="00436755">
      <w:pPr>
        <w:pStyle w:val="Paragraphedeliste"/>
        <w:numPr>
          <w:ilvl w:val="0"/>
          <w:numId w:val="2"/>
        </w:numPr>
        <w:ind w:left="1151" w:right="545" w:hanging="357"/>
        <w:jc w:val="both"/>
        <w:rPr>
          <w:rFonts w:cstheme="minorHAnsi"/>
          <w:sz w:val="24"/>
          <w:szCs w:val="24"/>
        </w:rPr>
      </w:pPr>
      <w:r w:rsidRPr="004913EC">
        <w:rPr>
          <w:rFonts w:cstheme="minorHAnsi"/>
          <w:sz w:val="24"/>
          <w:szCs w:val="24"/>
        </w:rPr>
        <w:t>Sterke vertegenwoordiging van buitenlandse onderdanen die in staat zijn om geld te exporteren, met name naar het Indische subcontinent;</w:t>
      </w:r>
    </w:p>
    <w:p w14:paraId="21F080BD" w14:textId="22D77BBC" w:rsidR="00F6245D" w:rsidRPr="004913EC" w:rsidRDefault="00F6245D" w:rsidP="00436755">
      <w:pPr>
        <w:pStyle w:val="Paragraphedeliste"/>
        <w:numPr>
          <w:ilvl w:val="0"/>
          <w:numId w:val="2"/>
        </w:numPr>
        <w:ind w:left="1151" w:right="545" w:hanging="357"/>
        <w:jc w:val="both"/>
        <w:rPr>
          <w:rFonts w:cstheme="minorHAnsi"/>
          <w:sz w:val="24"/>
          <w:szCs w:val="24"/>
        </w:rPr>
      </w:pPr>
      <w:r w:rsidRPr="004913EC">
        <w:rPr>
          <w:rFonts w:cstheme="minorHAnsi"/>
          <w:sz w:val="24"/>
          <w:szCs w:val="24"/>
        </w:rPr>
        <w:t>Niet-neerlegging van de jaarrekening;</w:t>
      </w:r>
    </w:p>
    <w:p w14:paraId="3FB29D29" w14:textId="6812A44B" w:rsidR="00EE04F9" w:rsidRPr="004913EC" w:rsidRDefault="00B91162" w:rsidP="00436755">
      <w:pPr>
        <w:pStyle w:val="Paragraphedeliste"/>
        <w:numPr>
          <w:ilvl w:val="0"/>
          <w:numId w:val="2"/>
        </w:numPr>
        <w:ind w:left="1151" w:right="545" w:hanging="357"/>
        <w:jc w:val="both"/>
        <w:rPr>
          <w:rFonts w:cstheme="minorHAnsi"/>
          <w:sz w:val="24"/>
          <w:szCs w:val="24"/>
        </w:rPr>
      </w:pPr>
      <w:r w:rsidRPr="004913EC">
        <w:rPr>
          <w:rFonts w:cstheme="minorHAnsi"/>
          <w:sz w:val="24"/>
          <w:szCs w:val="24"/>
        </w:rPr>
        <w:t>Regelmatig verloop van de leden van het management.</w:t>
      </w:r>
    </w:p>
    <w:p w14:paraId="2E35B580" w14:textId="77777777" w:rsidR="00EE04F9" w:rsidRDefault="00EE04F9" w:rsidP="00BA77B8">
      <w:pPr>
        <w:ind w:right="545"/>
        <w:rPr>
          <w:rFonts w:ascii="CIDFont+F2" w:hAnsi="CIDFont+F2" w:cs="CIDFont+F2"/>
          <w:color w:val="000000"/>
          <w:sz w:val="23"/>
          <w:szCs w:val="23"/>
        </w:rPr>
      </w:pPr>
      <w:r>
        <w:br w:type="page"/>
      </w:r>
    </w:p>
    <w:p w14:paraId="7395A89F" w14:textId="77777777" w:rsidR="000F0769" w:rsidRPr="000F0769" w:rsidRDefault="000F0769" w:rsidP="000F0769">
      <w:pPr>
        <w:spacing w:before="120" w:after="120" w:line="240" w:lineRule="auto"/>
        <w:ind w:left="357" w:right="545"/>
        <w:jc w:val="both"/>
        <w:rPr>
          <w:color w:val="2F5496" w:themeColor="accent1" w:themeShade="BF"/>
          <w:sz w:val="28"/>
          <w:szCs w:val="28"/>
          <w:u w:val="single" w:color="4472C4" w:themeColor="accent1"/>
        </w:rPr>
      </w:pPr>
    </w:p>
    <w:p w14:paraId="009C1074" w14:textId="77777777" w:rsidR="000F0769" w:rsidRPr="000F0769" w:rsidRDefault="000F0769" w:rsidP="000F0769">
      <w:pPr>
        <w:spacing w:before="120" w:after="120" w:line="240" w:lineRule="auto"/>
        <w:ind w:left="357" w:right="545"/>
        <w:jc w:val="both"/>
        <w:rPr>
          <w:color w:val="2F5496" w:themeColor="accent1" w:themeShade="BF"/>
          <w:sz w:val="28"/>
          <w:szCs w:val="28"/>
          <w:u w:val="single" w:color="4472C4" w:themeColor="accent1"/>
        </w:rPr>
      </w:pPr>
    </w:p>
    <w:p w14:paraId="05557E9F" w14:textId="4F72C27D" w:rsidR="00CB3977" w:rsidRPr="000D0F8A" w:rsidRDefault="00CB3977" w:rsidP="00BA77B8">
      <w:pPr>
        <w:pStyle w:val="Paragraphedeliste"/>
        <w:numPr>
          <w:ilvl w:val="0"/>
          <w:numId w:val="1"/>
        </w:numPr>
        <w:spacing w:before="120" w:after="120" w:line="240" w:lineRule="auto"/>
        <w:ind w:left="714" w:right="545" w:hanging="357"/>
        <w:jc w:val="both"/>
        <w:rPr>
          <w:color w:val="4472C4" w:themeColor="accent1"/>
          <w:sz w:val="28"/>
          <w:szCs w:val="28"/>
          <w:u w:val="single" w:color="4472C4" w:themeColor="accent1"/>
        </w:rPr>
      </w:pPr>
      <w:r w:rsidRPr="000D0F8A">
        <w:rPr>
          <w:color w:val="4472C4" w:themeColor="accent1"/>
          <w:sz w:val="28"/>
          <w:u w:val="single" w:color="4472C4" w:themeColor="accent1"/>
        </w:rPr>
        <w:t>Afzwakking van de dreiging</w:t>
      </w:r>
    </w:p>
    <w:p w14:paraId="1C444D8B" w14:textId="77777777" w:rsidR="000B03AF" w:rsidRPr="00C4092E" w:rsidRDefault="000B03AF" w:rsidP="00BA77B8">
      <w:pPr>
        <w:pStyle w:val="Paragraphedeliste"/>
        <w:spacing w:after="0"/>
        <w:ind w:left="714" w:right="545"/>
        <w:jc w:val="both"/>
        <w:rPr>
          <w:color w:val="2F5496" w:themeColor="accent1" w:themeShade="BF"/>
          <w:sz w:val="16"/>
          <w:szCs w:val="16"/>
          <w:u w:val="single" w:color="4472C4" w:themeColor="accent1"/>
        </w:rPr>
      </w:pPr>
    </w:p>
    <w:p w14:paraId="3BE755B4" w14:textId="252A4A95" w:rsidR="00CB3977" w:rsidRPr="004913EC" w:rsidRDefault="00495A19" w:rsidP="004F0B8C">
      <w:pPr>
        <w:pStyle w:val="Paragraphedeliste"/>
        <w:numPr>
          <w:ilvl w:val="0"/>
          <w:numId w:val="2"/>
        </w:numPr>
        <w:ind w:left="1151" w:right="545" w:hanging="357"/>
        <w:jc w:val="both"/>
        <w:rPr>
          <w:rFonts w:cstheme="minorHAnsi"/>
          <w:sz w:val="24"/>
          <w:szCs w:val="24"/>
        </w:rPr>
      </w:pPr>
      <w:r w:rsidRPr="004913EC">
        <w:rPr>
          <w:rFonts w:cstheme="minorHAnsi"/>
          <w:sz w:val="24"/>
          <w:szCs w:val="24"/>
        </w:rPr>
        <w:t>De internationale kapitaalstromen blijven meestal intracommunautair en verlopen zelden via risicogebieden.</w:t>
      </w:r>
    </w:p>
    <w:p w14:paraId="44C181D9" w14:textId="77777777" w:rsidR="00495A19" w:rsidRPr="004913EC" w:rsidRDefault="00495A19" w:rsidP="00BA77B8">
      <w:pPr>
        <w:ind w:left="567" w:right="545"/>
        <w:contextualSpacing/>
        <w:jc w:val="both"/>
        <w:rPr>
          <w:rFonts w:cstheme="minorHAnsi"/>
          <w:sz w:val="24"/>
          <w:szCs w:val="24"/>
        </w:rPr>
      </w:pPr>
    </w:p>
    <w:p w14:paraId="762D7354" w14:textId="5096D04A" w:rsidR="00FE134C" w:rsidRPr="004913EC" w:rsidRDefault="00FE134C" w:rsidP="00BA77B8">
      <w:pPr>
        <w:ind w:left="567" w:right="545"/>
        <w:contextualSpacing/>
        <w:jc w:val="both"/>
        <w:rPr>
          <w:rFonts w:eastAsia="Times New Roman" w:cstheme="minorHAnsi"/>
          <w:sz w:val="24"/>
          <w:szCs w:val="24"/>
        </w:rPr>
      </w:pPr>
      <w:r w:rsidRPr="004913EC">
        <w:rPr>
          <w:rFonts w:cstheme="minorHAnsi"/>
          <w:sz w:val="24"/>
          <w:szCs w:val="24"/>
        </w:rPr>
        <w:t>Er moet echter aandacht worden besteed aan de volgende situaties:</w:t>
      </w:r>
    </w:p>
    <w:p w14:paraId="5C75271F" w14:textId="6D06CCF3" w:rsidR="005C0D9E" w:rsidRPr="000D0F8A" w:rsidRDefault="00936738" w:rsidP="00BA77B8">
      <w:pPr>
        <w:pStyle w:val="Paragraphedeliste"/>
        <w:numPr>
          <w:ilvl w:val="0"/>
          <w:numId w:val="1"/>
        </w:numPr>
        <w:spacing w:before="240"/>
        <w:ind w:left="714" w:right="545" w:hanging="357"/>
        <w:jc w:val="both"/>
        <w:rPr>
          <w:color w:val="4472C4" w:themeColor="accent1"/>
          <w:sz w:val="28"/>
          <w:szCs w:val="28"/>
          <w:u w:val="single" w:color="4472C4" w:themeColor="accent1"/>
        </w:rPr>
      </w:pPr>
      <w:r w:rsidRPr="000D0F8A">
        <w:rPr>
          <w:color w:val="4472C4" w:themeColor="accent1"/>
          <w:sz w:val="28"/>
          <w:u w:val="single" w:color="4472C4" w:themeColor="accent1"/>
        </w:rPr>
        <w:t>Bestuur: management en aandeelhouderschap</w:t>
      </w:r>
    </w:p>
    <w:p w14:paraId="6C94F3E2" w14:textId="77777777" w:rsidR="00712873" w:rsidRPr="00C4092E" w:rsidRDefault="00712873" w:rsidP="00BA77B8">
      <w:pPr>
        <w:pStyle w:val="Paragraphedeliste"/>
        <w:spacing w:before="240"/>
        <w:ind w:left="714" w:right="545"/>
        <w:jc w:val="both"/>
        <w:rPr>
          <w:color w:val="4472C4" w:themeColor="accent1"/>
          <w:sz w:val="16"/>
          <w:szCs w:val="16"/>
          <w:u w:val="single" w:color="4472C4" w:themeColor="accent1"/>
        </w:rPr>
      </w:pPr>
    </w:p>
    <w:p w14:paraId="31444896" w14:textId="23407AC7" w:rsidR="00DC17F8" w:rsidRDefault="00DC17F8" w:rsidP="00BA77B8">
      <w:pPr>
        <w:pStyle w:val="Paragraphedeliste"/>
        <w:numPr>
          <w:ilvl w:val="0"/>
          <w:numId w:val="2"/>
        </w:numPr>
        <w:ind w:left="1151" w:right="545" w:hanging="357"/>
        <w:jc w:val="both"/>
        <w:rPr>
          <w:sz w:val="24"/>
          <w:szCs w:val="24"/>
        </w:rPr>
      </w:pPr>
      <w:r>
        <w:rPr>
          <w:sz w:val="24"/>
        </w:rPr>
        <w:t>Schijnzelfstandigen of stromannen gebruiken als zaakvoerders;</w:t>
      </w:r>
    </w:p>
    <w:p w14:paraId="74036AD2" w14:textId="222C1AFE" w:rsidR="00AE7B54" w:rsidRPr="00712873" w:rsidRDefault="00DC17F8" w:rsidP="00BA77B8">
      <w:pPr>
        <w:pStyle w:val="Paragraphedeliste"/>
        <w:numPr>
          <w:ilvl w:val="0"/>
          <w:numId w:val="2"/>
        </w:numPr>
        <w:ind w:left="1151" w:right="545" w:hanging="357"/>
        <w:jc w:val="both"/>
        <w:rPr>
          <w:sz w:val="24"/>
          <w:szCs w:val="24"/>
        </w:rPr>
      </w:pPr>
      <w:r>
        <w:rPr>
          <w:sz w:val="24"/>
        </w:rPr>
        <w:t>Vage en ruime maatschappelijke doelen;</w:t>
      </w:r>
    </w:p>
    <w:p w14:paraId="3A1F16CC" w14:textId="77777777" w:rsidR="00AE7B54" w:rsidRPr="00712873" w:rsidRDefault="00AE7B54" w:rsidP="00BA77B8">
      <w:pPr>
        <w:pStyle w:val="Paragraphedeliste"/>
        <w:ind w:left="1151" w:right="545"/>
        <w:jc w:val="both"/>
        <w:rPr>
          <w:sz w:val="24"/>
          <w:szCs w:val="24"/>
        </w:rPr>
      </w:pPr>
    </w:p>
    <w:p w14:paraId="652AADDA" w14:textId="08C4FE5E" w:rsidR="00C512B4" w:rsidRPr="000D0F8A" w:rsidRDefault="00C512B4" w:rsidP="00BA77B8">
      <w:pPr>
        <w:pStyle w:val="Paragraphedeliste"/>
        <w:numPr>
          <w:ilvl w:val="0"/>
          <w:numId w:val="1"/>
        </w:numPr>
        <w:spacing w:before="240"/>
        <w:ind w:left="714" w:right="545" w:hanging="357"/>
        <w:jc w:val="both"/>
        <w:rPr>
          <w:color w:val="4472C4" w:themeColor="accent1"/>
          <w:sz w:val="28"/>
          <w:szCs w:val="28"/>
          <w:u w:val="single" w:color="4472C4" w:themeColor="accent1"/>
        </w:rPr>
      </w:pPr>
      <w:r w:rsidRPr="000D0F8A">
        <w:rPr>
          <w:color w:val="4472C4" w:themeColor="accent1"/>
          <w:sz w:val="28"/>
          <w:u w:val="single" w:color="4472C4" w:themeColor="accent1"/>
        </w:rPr>
        <w:t>Verdachte verrichtingen</w:t>
      </w:r>
    </w:p>
    <w:p w14:paraId="434AA601" w14:textId="77777777" w:rsidR="00C512B4" w:rsidRPr="00C4092E" w:rsidRDefault="00C512B4" w:rsidP="00BA77B8">
      <w:pPr>
        <w:pStyle w:val="Paragraphedeliste"/>
        <w:ind w:right="545"/>
        <w:jc w:val="both"/>
        <w:rPr>
          <w:sz w:val="16"/>
          <w:szCs w:val="16"/>
        </w:rPr>
      </w:pPr>
    </w:p>
    <w:p w14:paraId="0EA2D9F0" w14:textId="003ECE07" w:rsidR="00DC17F8" w:rsidRPr="00DC17F8" w:rsidRDefault="00DC17F8" w:rsidP="00BA77B8">
      <w:pPr>
        <w:pStyle w:val="Paragraphedeliste"/>
        <w:numPr>
          <w:ilvl w:val="0"/>
          <w:numId w:val="2"/>
        </w:numPr>
        <w:ind w:left="1151" w:right="545" w:hanging="357"/>
        <w:jc w:val="both"/>
        <w:rPr>
          <w:sz w:val="24"/>
          <w:szCs w:val="24"/>
        </w:rPr>
      </w:pPr>
      <w:r>
        <w:rPr>
          <w:sz w:val="24"/>
        </w:rPr>
        <w:t>Zwartwerk;</w:t>
      </w:r>
    </w:p>
    <w:p w14:paraId="3DD21933" w14:textId="06E99059" w:rsidR="00DC17F8" w:rsidRDefault="00DC17F8" w:rsidP="00BA77B8">
      <w:pPr>
        <w:pStyle w:val="Paragraphedeliste"/>
        <w:numPr>
          <w:ilvl w:val="0"/>
          <w:numId w:val="2"/>
        </w:numPr>
        <w:ind w:left="1151" w:right="545" w:hanging="357"/>
        <w:jc w:val="both"/>
        <w:rPr>
          <w:sz w:val="24"/>
          <w:szCs w:val="24"/>
        </w:rPr>
      </w:pPr>
      <w:r>
        <w:rPr>
          <w:sz w:val="24"/>
        </w:rPr>
        <w:t>Een ongewoon hoog omzetcijfer in verhouding met de economische werkelijkheid;</w:t>
      </w:r>
    </w:p>
    <w:p w14:paraId="23D7BCBA" w14:textId="1F7DB6CB" w:rsidR="000D7969" w:rsidRDefault="00DC17F8" w:rsidP="00BA77B8">
      <w:pPr>
        <w:pStyle w:val="Paragraphedeliste"/>
        <w:numPr>
          <w:ilvl w:val="0"/>
          <w:numId w:val="2"/>
        </w:numPr>
        <w:ind w:left="1151" w:right="545" w:hanging="357"/>
        <w:jc w:val="both"/>
        <w:rPr>
          <w:sz w:val="24"/>
          <w:szCs w:val="24"/>
        </w:rPr>
      </w:pPr>
      <w:r>
        <w:rPr>
          <w:sz w:val="24"/>
        </w:rPr>
        <w:t>Verkoop van namaaksigaretten;</w:t>
      </w:r>
    </w:p>
    <w:p w14:paraId="3E7CC950" w14:textId="362BC5B2" w:rsidR="009329B8" w:rsidRDefault="009329B8" w:rsidP="00BA77B8">
      <w:pPr>
        <w:pStyle w:val="Paragraphedeliste"/>
        <w:numPr>
          <w:ilvl w:val="0"/>
          <w:numId w:val="2"/>
        </w:numPr>
        <w:ind w:left="1151" w:right="545" w:hanging="357"/>
        <w:jc w:val="both"/>
        <w:rPr>
          <w:sz w:val="24"/>
          <w:szCs w:val="24"/>
        </w:rPr>
      </w:pPr>
      <w:r>
        <w:rPr>
          <w:sz w:val="24"/>
        </w:rPr>
        <w:t>Valse facturen / cheques;</w:t>
      </w:r>
    </w:p>
    <w:p w14:paraId="617E6194" w14:textId="5C7218DD" w:rsidR="000D7969" w:rsidRPr="003E31EE" w:rsidRDefault="008667BF" w:rsidP="00BA77B8">
      <w:pPr>
        <w:pStyle w:val="Paragraphedeliste"/>
        <w:numPr>
          <w:ilvl w:val="0"/>
          <w:numId w:val="2"/>
        </w:numPr>
        <w:ind w:left="1151" w:right="545" w:hanging="357"/>
        <w:jc w:val="both"/>
        <w:rPr>
          <w:sz w:val="24"/>
          <w:szCs w:val="24"/>
        </w:rPr>
      </w:pPr>
      <w:r>
        <w:rPr>
          <w:sz w:val="24"/>
        </w:rPr>
        <w:t>Het inschakelen van een notaris buiten het woon- of werkgebied.</w:t>
      </w:r>
    </w:p>
    <w:sectPr w:rsidR="000D7969" w:rsidRPr="003E31EE" w:rsidSect="0094004A">
      <w:footerReference w:type="default" r:id="rId11"/>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FB8C" w14:textId="77777777" w:rsidR="00AD4973" w:rsidRDefault="00AD4973" w:rsidP="005C0D9E">
      <w:pPr>
        <w:spacing w:after="0" w:line="240" w:lineRule="auto"/>
      </w:pPr>
      <w:r>
        <w:separator/>
      </w:r>
    </w:p>
  </w:endnote>
  <w:endnote w:type="continuationSeparator" w:id="0">
    <w:p w14:paraId="56868D16" w14:textId="77777777" w:rsidR="00AD4973" w:rsidRDefault="00AD4973"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863B" w14:textId="71B0AC3E" w:rsidR="000D7969" w:rsidRDefault="00DC17F8">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52F7F795" wp14:editId="36C654D1">
              <wp:simplePos x="0" y="0"/>
              <wp:positionH relativeFrom="page">
                <wp:posOffset>6536055</wp:posOffset>
              </wp:positionH>
              <wp:positionV relativeFrom="page">
                <wp:posOffset>9340215</wp:posOffset>
              </wp:positionV>
              <wp:extent cx="219710" cy="159385"/>
              <wp:effectExtent l="1905"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FA5B" w14:textId="77777777" w:rsidR="000D7969" w:rsidRDefault="000D7969">
                          <w:pPr>
                            <w:spacing w:before="12"/>
                            <w:ind w:left="60"/>
                            <w:rPr>
                              <w:sz w:val="19"/>
                            </w:rPr>
                          </w:pPr>
                          <w:r>
                            <w:rPr>
                              <w:color w:val="0F0F0F"/>
                              <w:sz w:val="19"/>
                            </w:rPr>
                            <w:fldChar w:fldCharType="begin"/>
                          </w:r>
                          <w:r>
                            <w:rPr>
                              <w:color w:val="0F0F0F"/>
                              <w:sz w:val="19"/>
                            </w:rPr>
                            <w:instrText xml:space="preserve"> PAGE </w:instrText>
                          </w:r>
                          <w:r>
                            <w:rPr>
                              <w:color w:val="0F0F0F"/>
                              <w:sz w:val="19"/>
                            </w:rPr>
                            <w:fldChar w:fldCharType="separate"/>
                          </w:r>
                          <w:r>
                            <w:rPr>
                              <w:color w:val="0F0F0F"/>
                              <w:sz w:val="19"/>
                            </w:rPr>
                            <w:t>35</w:t>
                          </w:r>
                          <w:r>
                            <w:rPr>
                              <w:color w:val="0F0F0F"/>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7F795" id="_x0000_t202" coordsize="21600,21600" o:spt="202" path="m,l,21600r21600,l21600,xe">
              <v:stroke joinstyle="miter"/>
              <v:path gradientshapeok="t" o:connecttype="rect"/>
            </v:shapetype>
            <v:shape id="Zone de texte 1" o:spid="_x0000_s1026" type="#_x0000_t202" style="position:absolute;margin-left:514.65pt;margin-top:735.45pt;width:17.3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" filled="f" stroked="f">
              <v:textbox inset="0,0,0,0">
                <w:txbxContent>
                  <w:p w14:paraId="0DE1FA5B" w14:textId="77777777" w:rsidR="000D7969" w:rsidRDefault="000D7969">
                    <w:pPr>
                      <w:spacing w:before="12"/>
                      <w:ind w:left="60"/>
                      <w:rPr>
                        <w:sz w:val="19"/>
                      </w:rPr>
                    </w:pPr>
                    <w:r>
                      <w:rPr>
                        <w:color w:val="0F0F0F"/>
                        <w:sz w:val="19"/>
                      </w:rPr>
                      <w:fldChar w:fldCharType="begin"/>
                    </w:r>
                    <w:r>
                      <w:rPr>
                        <w:color w:val="0F0F0F"/>
                        <w:sz w:val="19"/>
                      </w:rPr>
                      <w:instrText xml:space="preserve"> PAGE </w:instrText>
                    </w:r>
                    <w:r>
                      <w:rPr>
                        <w:color w:val="0F0F0F"/>
                        <w:sz w:val="19"/>
                      </w:rPr>
                      <w:fldChar w:fldCharType="separate"/>
                    </w:r>
                    <w:r>
                      <w:rPr>
                        <w:color w:val="0F0F0F"/>
                        <w:sz w:val="19"/>
                      </w:rPr>
                      <w:t>35</w:t>
                    </w:r>
                    <w:r>
                      <w:rPr>
                        <w:color w:val="0F0F0F"/>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CAEB" w14:textId="77777777" w:rsidR="00AD4973" w:rsidRDefault="00AD4973" w:rsidP="005C0D9E">
      <w:pPr>
        <w:spacing w:after="0" w:line="240" w:lineRule="auto"/>
      </w:pPr>
      <w:r>
        <w:separator/>
      </w:r>
    </w:p>
  </w:footnote>
  <w:footnote w:type="continuationSeparator" w:id="0">
    <w:p w14:paraId="29BAF714" w14:textId="77777777" w:rsidR="00AD4973" w:rsidRDefault="00AD4973" w:rsidP="005C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50438"/>
    <w:multiLevelType w:val="hybridMultilevel"/>
    <w:tmpl w:val="FAFA0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3769F4"/>
    <w:multiLevelType w:val="multilevel"/>
    <w:tmpl w:val="12D24822"/>
    <w:lvl w:ilvl="0">
      <w:start w:val="2"/>
      <w:numFmt w:val="decimal"/>
      <w:lvlText w:val="%1"/>
      <w:lvlJc w:val="left"/>
      <w:pPr>
        <w:ind w:left="940" w:hanging="806"/>
        <w:jc w:val="left"/>
      </w:pPr>
      <w:rPr>
        <w:rFonts w:hint="default"/>
        <w:lang w:val="fr-FR" w:eastAsia="en-US" w:bidi="ar-SA"/>
      </w:rPr>
    </w:lvl>
    <w:lvl w:ilvl="1">
      <w:start w:val="5"/>
      <w:numFmt w:val="decimal"/>
      <w:lvlText w:val="%1.%2"/>
      <w:lvlJc w:val="left"/>
      <w:pPr>
        <w:ind w:left="940" w:hanging="806"/>
        <w:jc w:val="left"/>
      </w:pPr>
      <w:rPr>
        <w:rFonts w:hint="default"/>
        <w:spacing w:val="-1"/>
        <w:w w:val="103"/>
        <w:lang w:val="fr-FR" w:eastAsia="en-US" w:bidi="ar-SA"/>
      </w:rPr>
    </w:lvl>
    <w:lvl w:ilvl="2">
      <w:numFmt w:val="bullet"/>
      <w:lvlText w:val="•"/>
      <w:lvlJc w:val="left"/>
      <w:pPr>
        <w:ind w:left="2544" w:hanging="806"/>
      </w:pPr>
      <w:rPr>
        <w:rFonts w:hint="default"/>
        <w:lang w:val="fr-FR" w:eastAsia="en-US" w:bidi="ar-SA"/>
      </w:rPr>
    </w:lvl>
    <w:lvl w:ilvl="3">
      <w:numFmt w:val="bullet"/>
      <w:lvlText w:val="•"/>
      <w:lvlJc w:val="left"/>
      <w:pPr>
        <w:ind w:left="3346" w:hanging="806"/>
      </w:pPr>
      <w:rPr>
        <w:rFonts w:hint="default"/>
        <w:lang w:val="fr-FR" w:eastAsia="en-US" w:bidi="ar-SA"/>
      </w:rPr>
    </w:lvl>
    <w:lvl w:ilvl="4">
      <w:numFmt w:val="bullet"/>
      <w:lvlText w:val="•"/>
      <w:lvlJc w:val="left"/>
      <w:pPr>
        <w:ind w:left="4148" w:hanging="806"/>
      </w:pPr>
      <w:rPr>
        <w:rFonts w:hint="default"/>
        <w:lang w:val="fr-FR" w:eastAsia="en-US" w:bidi="ar-SA"/>
      </w:rPr>
    </w:lvl>
    <w:lvl w:ilvl="5">
      <w:numFmt w:val="bullet"/>
      <w:lvlText w:val="•"/>
      <w:lvlJc w:val="left"/>
      <w:pPr>
        <w:ind w:left="4950" w:hanging="806"/>
      </w:pPr>
      <w:rPr>
        <w:rFonts w:hint="default"/>
        <w:lang w:val="fr-FR" w:eastAsia="en-US" w:bidi="ar-SA"/>
      </w:rPr>
    </w:lvl>
    <w:lvl w:ilvl="6">
      <w:numFmt w:val="bullet"/>
      <w:lvlText w:val="•"/>
      <w:lvlJc w:val="left"/>
      <w:pPr>
        <w:ind w:left="5752" w:hanging="806"/>
      </w:pPr>
      <w:rPr>
        <w:rFonts w:hint="default"/>
        <w:lang w:val="fr-FR" w:eastAsia="en-US" w:bidi="ar-SA"/>
      </w:rPr>
    </w:lvl>
    <w:lvl w:ilvl="7">
      <w:numFmt w:val="bullet"/>
      <w:lvlText w:val="•"/>
      <w:lvlJc w:val="left"/>
      <w:pPr>
        <w:ind w:left="6554" w:hanging="806"/>
      </w:pPr>
      <w:rPr>
        <w:rFonts w:hint="default"/>
        <w:lang w:val="fr-FR" w:eastAsia="en-US" w:bidi="ar-SA"/>
      </w:rPr>
    </w:lvl>
    <w:lvl w:ilvl="8">
      <w:numFmt w:val="bullet"/>
      <w:lvlText w:val="•"/>
      <w:lvlJc w:val="left"/>
      <w:pPr>
        <w:ind w:left="7356" w:hanging="806"/>
      </w:pPr>
      <w:rPr>
        <w:rFonts w:hint="default"/>
        <w:lang w:val="fr-FR" w:eastAsia="en-US" w:bidi="ar-SA"/>
      </w:rPr>
    </w:lvl>
  </w:abstractNum>
  <w:abstractNum w:abstractNumId="5"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553354"/>
    <w:multiLevelType w:val="hybridMultilevel"/>
    <w:tmpl w:val="A4001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EA0F31"/>
    <w:multiLevelType w:val="hybridMultilevel"/>
    <w:tmpl w:val="FFC604E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A52860"/>
    <w:multiLevelType w:val="hybridMultilevel"/>
    <w:tmpl w:val="4D8C46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EB1DCD"/>
    <w:multiLevelType w:val="hybridMultilevel"/>
    <w:tmpl w:val="10804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E312F9"/>
    <w:multiLevelType w:val="hybridMultilevel"/>
    <w:tmpl w:val="9F3ADA3C"/>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22"/>
  </w:num>
  <w:num w:numId="2" w16cid:durableId="1495074996">
    <w:abstractNumId w:val="17"/>
  </w:num>
  <w:num w:numId="3" w16cid:durableId="381291445">
    <w:abstractNumId w:val="16"/>
  </w:num>
  <w:num w:numId="4" w16cid:durableId="1843428260">
    <w:abstractNumId w:val="6"/>
  </w:num>
  <w:num w:numId="5" w16cid:durableId="1655335937">
    <w:abstractNumId w:val="15"/>
  </w:num>
  <w:num w:numId="6" w16cid:durableId="198475671">
    <w:abstractNumId w:val="10"/>
  </w:num>
  <w:num w:numId="7" w16cid:durableId="611134263">
    <w:abstractNumId w:val="3"/>
  </w:num>
  <w:num w:numId="8" w16cid:durableId="632636094">
    <w:abstractNumId w:val="13"/>
  </w:num>
  <w:num w:numId="9" w16cid:durableId="1153907962">
    <w:abstractNumId w:val="0"/>
  </w:num>
  <w:num w:numId="10" w16cid:durableId="1269389438">
    <w:abstractNumId w:val="8"/>
  </w:num>
  <w:num w:numId="11" w16cid:durableId="1074813988">
    <w:abstractNumId w:val="5"/>
  </w:num>
  <w:num w:numId="12" w16cid:durableId="491027007">
    <w:abstractNumId w:val="7"/>
  </w:num>
  <w:num w:numId="13" w16cid:durableId="135876604">
    <w:abstractNumId w:val="14"/>
  </w:num>
  <w:num w:numId="14" w16cid:durableId="764348663">
    <w:abstractNumId w:val="9"/>
  </w:num>
  <w:num w:numId="15" w16cid:durableId="838734017">
    <w:abstractNumId w:val="1"/>
  </w:num>
  <w:num w:numId="16" w16cid:durableId="63839980">
    <w:abstractNumId w:val="21"/>
  </w:num>
  <w:num w:numId="17" w16cid:durableId="192156088">
    <w:abstractNumId w:val="20"/>
  </w:num>
  <w:num w:numId="18" w16cid:durableId="1497577348">
    <w:abstractNumId w:val="23"/>
  </w:num>
  <w:num w:numId="19" w16cid:durableId="1841654329">
    <w:abstractNumId w:val="19"/>
  </w:num>
  <w:num w:numId="20" w16cid:durableId="694044293">
    <w:abstractNumId w:val="12"/>
  </w:num>
  <w:num w:numId="21" w16cid:durableId="896010190">
    <w:abstractNumId w:val="11"/>
  </w:num>
  <w:num w:numId="22" w16cid:durableId="1412779686">
    <w:abstractNumId w:val="2"/>
  </w:num>
  <w:num w:numId="23" w16cid:durableId="1251306892">
    <w:abstractNumId w:val="18"/>
  </w:num>
  <w:num w:numId="24" w16cid:durableId="1670910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323DC"/>
    <w:rsid w:val="00046BB2"/>
    <w:rsid w:val="000B03AF"/>
    <w:rsid w:val="000D0F8A"/>
    <w:rsid w:val="000D7969"/>
    <w:rsid w:val="000D7D38"/>
    <w:rsid w:val="000F0769"/>
    <w:rsid w:val="00103098"/>
    <w:rsid w:val="00105DCE"/>
    <w:rsid w:val="001344B4"/>
    <w:rsid w:val="001E163C"/>
    <w:rsid w:val="002C692F"/>
    <w:rsid w:val="002D05F2"/>
    <w:rsid w:val="002F4A69"/>
    <w:rsid w:val="003D58D0"/>
    <w:rsid w:val="003D648D"/>
    <w:rsid w:val="003E31EE"/>
    <w:rsid w:val="00413D6F"/>
    <w:rsid w:val="00435B7C"/>
    <w:rsid w:val="00436755"/>
    <w:rsid w:val="00464555"/>
    <w:rsid w:val="004913EC"/>
    <w:rsid w:val="00495A19"/>
    <w:rsid w:val="004D39E7"/>
    <w:rsid w:val="004E5650"/>
    <w:rsid w:val="004F0B8C"/>
    <w:rsid w:val="005129E9"/>
    <w:rsid w:val="00553816"/>
    <w:rsid w:val="00556D3B"/>
    <w:rsid w:val="005C0D9E"/>
    <w:rsid w:val="0061072C"/>
    <w:rsid w:val="00712873"/>
    <w:rsid w:val="00722FE8"/>
    <w:rsid w:val="00747A05"/>
    <w:rsid w:val="007821BE"/>
    <w:rsid w:val="00796377"/>
    <w:rsid w:val="007A1FFA"/>
    <w:rsid w:val="008667BF"/>
    <w:rsid w:val="00897191"/>
    <w:rsid w:val="008B43E2"/>
    <w:rsid w:val="009077D9"/>
    <w:rsid w:val="009329B8"/>
    <w:rsid w:val="00936738"/>
    <w:rsid w:val="0094004A"/>
    <w:rsid w:val="00987EF5"/>
    <w:rsid w:val="009A5ADD"/>
    <w:rsid w:val="009E0D0D"/>
    <w:rsid w:val="00A9129E"/>
    <w:rsid w:val="00AD4973"/>
    <w:rsid w:val="00AD5688"/>
    <w:rsid w:val="00AE4DF0"/>
    <w:rsid w:val="00AE582E"/>
    <w:rsid w:val="00AE7B54"/>
    <w:rsid w:val="00B201E8"/>
    <w:rsid w:val="00B40FAF"/>
    <w:rsid w:val="00B73C25"/>
    <w:rsid w:val="00B91162"/>
    <w:rsid w:val="00BA77B8"/>
    <w:rsid w:val="00BF067B"/>
    <w:rsid w:val="00BF7F8E"/>
    <w:rsid w:val="00C341C0"/>
    <w:rsid w:val="00C4092E"/>
    <w:rsid w:val="00C512B4"/>
    <w:rsid w:val="00C71B74"/>
    <w:rsid w:val="00C8639A"/>
    <w:rsid w:val="00C9070A"/>
    <w:rsid w:val="00CB3977"/>
    <w:rsid w:val="00D01C2A"/>
    <w:rsid w:val="00D0304B"/>
    <w:rsid w:val="00D66117"/>
    <w:rsid w:val="00D963C7"/>
    <w:rsid w:val="00DC17F8"/>
    <w:rsid w:val="00DF5E99"/>
    <w:rsid w:val="00E46A15"/>
    <w:rsid w:val="00E610A4"/>
    <w:rsid w:val="00E93183"/>
    <w:rsid w:val="00ED21C6"/>
    <w:rsid w:val="00EE04F9"/>
    <w:rsid w:val="00F23776"/>
    <w:rsid w:val="00F6245D"/>
    <w:rsid w:val="00FE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C17F8"/>
    <w:pPr>
      <w:widowControl w:val="0"/>
      <w:autoSpaceDE w:val="0"/>
      <w:autoSpaceDN w:val="0"/>
      <w:spacing w:after="0" w:line="240" w:lineRule="auto"/>
      <w:ind w:left="940" w:hanging="806"/>
      <w:outlineLvl w:val="0"/>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nl-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nl-BE"/>
    </w:rPr>
  </w:style>
  <w:style w:type="paragraph" w:styleId="Paragraphedeliste">
    <w:name w:val="List Paragraph"/>
    <w:basedOn w:val="Normal"/>
    <w:uiPriority w:val="34"/>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nl-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paragraph" w:styleId="Corpsdetexte">
    <w:name w:val="Body Text"/>
    <w:basedOn w:val="Normal"/>
    <w:link w:val="CorpsdetexteCar"/>
    <w:uiPriority w:val="1"/>
    <w:qFormat/>
    <w:rsid w:val="00CB3977"/>
    <w:pPr>
      <w:widowControl w:val="0"/>
      <w:autoSpaceDE w:val="0"/>
      <w:autoSpaceDN w:val="0"/>
      <w:spacing w:after="0" w:line="240" w:lineRule="auto"/>
    </w:pPr>
    <w:rPr>
      <w:rFonts w:ascii="Times New Roman" w:eastAsia="Times New Roman" w:hAnsi="Times New Roman" w:cs="Times New Roman"/>
    </w:rPr>
  </w:style>
  <w:style w:type="character" w:customStyle="1" w:styleId="CorpsdetexteCar">
    <w:name w:val="Corps de texte Car"/>
    <w:basedOn w:val="Policepardfaut"/>
    <w:link w:val="Corpsdetexte"/>
    <w:uiPriority w:val="1"/>
    <w:rsid w:val="00CB3977"/>
    <w:rPr>
      <w:rFonts w:ascii="Times New Roman" w:eastAsia="Times New Roman" w:hAnsi="Times New Roman" w:cs="Times New Roman"/>
    </w:rPr>
  </w:style>
  <w:style w:type="character" w:customStyle="1" w:styleId="Titre1Car">
    <w:name w:val="Titre 1 Car"/>
    <w:basedOn w:val="Policepardfaut"/>
    <w:link w:val="Titre1"/>
    <w:uiPriority w:val="9"/>
    <w:rsid w:val="00DC17F8"/>
    <w:rPr>
      <w:rFonts w:ascii="Arial" w:eastAsia="Arial" w:hAnsi="Arial" w:cs="Arial"/>
      <w:b/>
      <w:bCs/>
    </w:rPr>
  </w:style>
  <w:style w:type="paragraph" w:styleId="Rvision">
    <w:name w:val="Revision"/>
    <w:hidden/>
    <w:uiPriority w:val="99"/>
    <w:semiHidden/>
    <w:rsid w:val="00F62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6CF77-DF3E-48C8-8868-B9832F1AE365}">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2.xml><?xml version="1.0" encoding="utf-8"?>
<ds:datastoreItem xmlns:ds="http://schemas.openxmlformats.org/officeDocument/2006/customXml" ds:itemID="{B7EA5E72-CA6D-429E-A018-C7AF1B8CC5A1}">
  <ds:schemaRefs>
    <ds:schemaRef ds:uri="http://schemas.microsoft.com/sharepoint/v3/contenttype/forms"/>
  </ds:schemaRefs>
</ds:datastoreItem>
</file>

<file path=customXml/itemProps3.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customXml/itemProps4.xml><?xml version="1.0" encoding="utf-8"?>
<ds:datastoreItem xmlns:ds="http://schemas.openxmlformats.org/officeDocument/2006/customXml" ds:itemID="{85C3AC88-FCE0-402C-8D5B-4E52424E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5</cp:revision>
  <dcterms:created xsi:type="dcterms:W3CDTF">2023-05-16T09:49:00Z</dcterms:created>
  <dcterms:modified xsi:type="dcterms:W3CDTF">2023-08-02T07:47:00Z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