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18905A3A" w:rsidR="003D648D" w:rsidRPr="001563EC" w:rsidRDefault="005C0D9E" w:rsidP="00712873">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rPr>
          <w:sz w:val="32"/>
          <w:szCs w:val="32"/>
        </w:rPr>
      </w:pPr>
      <w:r w:rsidRPr="001563EC">
        <w:rPr>
          <w:sz w:val="32"/>
          <w:szCs w:val="32"/>
        </w:rPr>
        <w:t xml:space="preserve">Typologie des risques AML – </w:t>
      </w:r>
      <w:r w:rsidR="002C16AB" w:rsidRPr="001563EC">
        <w:rPr>
          <w:sz w:val="32"/>
          <w:szCs w:val="32"/>
        </w:rPr>
        <w:t>Véhicules d’occasion</w:t>
      </w:r>
      <w:r w:rsidRPr="001563EC">
        <w:rPr>
          <w:sz w:val="32"/>
          <w:szCs w:val="32"/>
        </w:rPr>
        <w:t> :</w:t>
      </w:r>
    </w:p>
    <w:p w14:paraId="08021100" w14:textId="6AB36384" w:rsidR="00FC6D64" w:rsidRPr="00C8695F" w:rsidRDefault="00C6600A" w:rsidP="00CC0BCF">
      <w:pPr>
        <w:pStyle w:val="Paragraphedeliste"/>
        <w:spacing w:before="240"/>
        <w:ind w:left="714"/>
        <w:jc w:val="both"/>
        <w:rPr>
          <w:color w:val="0F0F0F"/>
          <w:lang w:val="nl-BE"/>
        </w:rPr>
      </w:pPr>
      <w:r w:rsidRPr="00C8695F">
        <w:rPr>
          <w:color w:val="010101"/>
          <w:lang w:val="nl-BE"/>
        </w:rPr>
        <w:t xml:space="preserve">De handel in tweedehandsvoertuigen zorgt voor grote financiële stromen. De grens van 3.000 EUR laat in feite toe om talrijke voertuigen in contanten te verkopen (de prijs van ongeveer de helft van de beschikbare voertuigen op de tweedehandsmarkt ligt lager dan 3.000 EUR). </w:t>
      </w:r>
      <w:r w:rsidR="00A90D47" w:rsidRPr="00C8695F">
        <w:rPr>
          <w:color w:val="0F0F0F"/>
          <w:lang w:val="nl-BE"/>
        </w:rPr>
        <w:t>Bij de verkoop van tweedehandsvoertuigen kunnen dus grote hoeveelheden contant geld worden gebruikt. Bij de doorverkoop kan ook bij de gemaakte winstmarge vuil geld worden gemengd.</w:t>
      </w:r>
    </w:p>
    <w:p w14:paraId="370F00E3" w14:textId="55F5A158" w:rsidR="002C16AB" w:rsidRPr="00C8695F" w:rsidRDefault="002C16AB" w:rsidP="00CC0BCF">
      <w:pPr>
        <w:pStyle w:val="Paragraphedeliste"/>
        <w:spacing w:before="240"/>
        <w:ind w:left="714"/>
        <w:jc w:val="both"/>
        <w:rPr>
          <w:color w:val="2F5496" w:themeColor="accent1" w:themeShade="BF"/>
          <w:sz w:val="16"/>
          <w:szCs w:val="16"/>
          <w:u w:val="single" w:color="4472C4" w:themeColor="accent1"/>
          <w:lang w:val="nl-BE"/>
        </w:rPr>
      </w:pPr>
    </w:p>
    <w:p w14:paraId="45D9F402" w14:textId="7C65796F" w:rsidR="009B52F9" w:rsidRPr="00C8695F" w:rsidRDefault="00CD1C12" w:rsidP="00CC0BCF">
      <w:pPr>
        <w:pStyle w:val="Paragraphedeliste"/>
        <w:spacing w:before="240"/>
        <w:ind w:left="714"/>
        <w:jc w:val="both"/>
        <w:rPr>
          <w:color w:val="0F0F0F"/>
          <w:lang w:val="nl-BE"/>
        </w:rPr>
      </w:pPr>
      <w:r w:rsidRPr="00C8695F">
        <w:rPr>
          <w:color w:val="0F0F0F"/>
          <w:lang w:val="nl-BE"/>
        </w:rPr>
        <w:t>In de sector kunnen ook valse documenten worden opgesteld, door het verschil in het zwart te betalen, is het mogelijk om een lager bedrag in rekening te brengen voor de verkoop tussen de handel in tweedehandsvoertuigen en de koper. Omgekeerd kan een te hoog bedrag in rekening worden gebracht voor de aankoop tussen het bedrijf en de verkoper.</w:t>
      </w:r>
    </w:p>
    <w:p w14:paraId="7D992235" w14:textId="77777777" w:rsidR="00CD1C12" w:rsidRPr="00C8695F" w:rsidRDefault="00CD1C12" w:rsidP="00CC0BCF">
      <w:pPr>
        <w:pStyle w:val="Paragraphedeliste"/>
        <w:spacing w:before="240"/>
        <w:ind w:left="714"/>
        <w:jc w:val="both"/>
        <w:rPr>
          <w:color w:val="0F0F0F"/>
          <w:lang w:val="nl-BE"/>
        </w:rPr>
      </w:pPr>
    </w:p>
    <w:p w14:paraId="324D31C5" w14:textId="42F80C35" w:rsidR="009B52F9" w:rsidRPr="00C8695F" w:rsidRDefault="004D442B" w:rsidP="00CC0BCF">
      <w:pPr>
        <w:pStyle w:val="Paragraphedeliste"/>
        <w:spacing w:before="240"/>
        <w:ind w:left="714"/>
        <w:jc w:val="both"/>
        <w:rPr>
          <w:color w:val="0F0F0F"/>
          <w:lang w:val="nl-BE"/>
        </w:rPr>
      </w:pPr>
      <w:r w:rsidRPr="00C8695F">
        <w:rPr>
          <w:color w:val="0F0F0F"/>
          <w:lang w:val="nl-BE"/>
        </w:rPr>
        <w:t>Naast de aangegeven activiteiten hebben de politiediensten ook onderzoeken of informatieverslagen opgesteld met betrekking tot personen of vennootschappen die een onwettelijke en niet aangegeven handel in tweedehandsvoertuigen opgezet hebben (uitvoer van vrachtwagens naar Afrika, herhaaldelijke verkopen van tweedehandsvoertuigen via internet, …).</w:t>
      </w:r>
    </w:p>
    <w:p w14:paraId="2E96F2CC" w14:textId="77777777" w:rsidR="009B52F9" w:rsidRPr="00AC0EA9" w:rsidRDefault="009B52F9" w:rsidP="00CC0BCF">
      <w:pPr>
        <w:pStyle w:val="Paragraphedeliste"/>
        <w:spacing w:before="240"/>
        <w:ind w:left="714"/>
        <w:jc w:val="both"/>
        <w:rPr>
          <w:color w:val="4472C4" w:themeColor="accent1"/>
          <w:sz w:val="16"/>
          <w:szCs w:val="16"/>
          <w:u w:val="single" w:color="4472C4" w:themeColor="accent1"/>
          <w:lang w:val="nl-BE"/>
        </w:rPr>
      </w:pPr>
    </w:p>
    <w:p w14:paraId="1ADE3B49" w14:textId="071769FA" w:rsidR="00CB3977" w:rsidRPr="00AC0EA9" w:rsidRDefault="004D442B" w:rsidP="00AC0EA9">
      <w:pPr>
        <w:pStyle w:val="Paragraphedeliste"/>
        <w:numPr>
          <w:ilvl w:val="0"/>
          <w:numId w:val="25"/>
        </w:numPr>
        <w:spacing w:before="240"/>
        <w:jc w:val="both"/>
        <w:rPr>
          <w:color w:val="4472C4" w:themeColor="accent1"/>
          <w:sz w:val="28"/>
          <w:szCs w:val="28"/>
          <w:u w:val="single" w:color="4472C4" w:themeColor="accent1"/>
          <w:lang w:val="nl-BE"/>
        </w:rPr>
      </w:pPr>
      <w:r w:rsidRPr="00AC0EA9">
        <w:rPr>
          <w:color w:val="4472C4" w:themeColor="accent1"/>
          <w:sz w:val="28"/>
          <w:szCs w:val="28"/>
          <w:u w:val="single" w:color="4472C4" w:themeColor="accent1"/>
          <w:lang w:val="nl-BE"/>
        </w:rPr>
        <w:t>Beginsel</w:t>
      </w:r>
    </w:p>
    <w:p w14:paraId="69DDD914" w14:textId="77777777" w:rsidR="00FC6D64" w:rsidRPr="00C8695F" w:rsidRDefault="00FC6D64" w:rsidP="00CC0BCF">
      <w:pPr>
        <w:pStyle w:val="Paragraphedeliste"/>
        <w:spacing w:before="240"/>
        <w:ind w:left="714"/>
        <w:jc w:val="both"/>
        <w:rPr>
          <w:color w:val="2F5496" w:themeColor="accent1" w:themeShade="BF"/>
          <w:sz w:val="16"/>
          <w:szCs w:val="16"/>
          <w:u w:val="single" w:color="4472C4" w:themeColor="accent1"/>
          <w:lang w:val="nl-BE"/>
        </w:rPr>
      </w:pPr>
    </w:p>
    <w:p w14:paraId="35529002" w14:textId="3D0AD9C7" w:rsidR="00A96160" w:rsidRPr="00C8695F" w:rsidRDefault="00A96160" w:rsidP="00CC0BCF">
      <w:pPr>
        <w:pStyle w:val="Paragraphedeliste"/>
        <w:spacing w:after="0"/>
        <w:ind w:left="714"/>
        <w:jc w:val="both"/>
        <w:rPr>
          <w:lang w:val="nl-BE"/>
        </w:rPr>
      </w:pPr>
      <w:r w:rsidRPr="00C8695F">
        <w:rPr>
          <w:lang w:val="nl-BE"/>
        </w:rPr>
        <w:t>Eén handelaar incasseerde bijvoorbeeld ongeveer één miljoen euro in contanten waar de jaarrekening van de vennootschap een verlies toonde. Er werd dus voor dat boekjaar geen belasting afgedragen. Feitelijk werd de enorme instroom van contanten niet of slechts gedeeltelijk in de boekhouding van de vennootschap ingeschreven. Voorraden, vorderingen op korte termijn en de beschikbare waarden konden de opbrengsten hierboven vermeld geenszins absorberen. Daarenboven werd de privérekening van de zaakvoerder gedurende meerdere jaren gecrediteerd door stortingen in contanten van onbekende oorsprong, die dan vervolgens via Western Union naar diverse bestemmingen (Marokko, Turkije, Frankrijk, Bulgarije, …) werden verspreid. Sommige van zijn klanten hadden een verdacht profiel, gelet</w:t>
      </w:r>
      <w:r w:rsidR="001972F9" w:rsidRPr="00C8695F">
        <w:rPr>
          <w:lang w:val="nl-BE"/>
        </w:rPr>
        <w:t xml:space="preserve"> op hun politionele voorgaanden. De analyse van de federale gerechtelijke politie heeft verder ook meerdere malen aangetoond dat er wagens werden aangekocht tegen contanten door vennootschappen die zich in werkelijkheid in een staat van faillissement bevonden. In die gevallen viel de datum van de facturen enkele weken, laat staan enkele dagen, voor de datum waarop de vennootschap onder curatele gebracht werd, zoals aangegeven door de Kruispuntbank van ondernemingen.</w:t>
      </w:r>
    </w:p>
    <w:p w14:paraId="64517451" w14:textId="23E83D24" w:rsidR="00CC0BCF" w:rsidRPr="00C8695F" w:rsidRDefault="00CC0BCF" w:rsidP="00CC0BCF">
      <w:pPr>
        <w:pStyle w:val="Paragraphedeliste"/>
        <w:spacing w:after="0"/>
        <w:ind w:left="714"/>
        <w:jc w:val="both"/>
        <w:rPr>
          <w:lang w:val="nl-BE"/>
        </w:rPr>
      </w:pPr>
    </w:p>
    <w:p w14:paraId="1F7E4F45" w14:textId="13AA9835" w:rsidR="00CC0BCF" w:rsidRPr="00C8695F" w:rsidRDefault="00CC0BCF" w:rsidP="00CC0BCF">
      <w:pPr>
        <w:pStyle w:val="Paragraphedeliste"/>
        <w:spacing w:after="0"/>
        <w:ind w:left="714"/>
        <w:jc w:val="both"/>
        <w:rPr>
          <w:lang w:val="nl-BE"/>
        </w:rPr>
      </w:pPr>
      <w:r w:rsidRPr="00C8695F">
        <w:rPr>
          <w:lang w:val="nl-BE"/>
        </w:rPr>
        <w:t xml:space="preserve">Laat ons ook noteren dat de markt van luxewagens (Duitse en Italiaanse merken) bijzonder blootgesteld zou zijn daar het toelaat om sneller grotere bedragen in contant geld te absorberen. </w:t>
      </w:r>
    </w:p>
    <w:p w14:paraId="2CF97731" w14:textId="77777777" w:rsidR="009B52F9" w:rsidRPr="00C8695F" w:rsidRDefault="009B52F9" w:rsidP="00CC0BCF">
      <w:pPr>
        <w:spacing w:after="0"/>
        <w:jc w:val="both"/>
        <w:rPr>
          <w:color w:val="0F0F0F"/>
          <w:w w:val="105"/>
          <w:sz w:val="16"/>
          <w:szCs w:val="16"/>
          <w:lang w:val="nl-BE"/>
        </w:rPr>
      </w:pPr>
    </w:p>
    <w:p w14:paraId="52686A34" w14:textId="160F7962" w:rsidR="00FC6D64" w:rsidRPr="00AC0EA9" w:rsidRDefault="009A1713" w:rsidP="00D8107B">
      <w:pPr>
        <w:pStyle w:val="Paragraphedeliste"/>
        <w:numPr>
          <w:ilvl w:val="0"/>
          <w:numId w:val="23"/>
        </w:numPr>
        <w:spacing w:before="240"/>
        <w:jc w:val="both"/>
        <w:rPr>
          <w:color w:val="4472C4" w:themeColor="accent1"/>
          <w:sz w:val="16"/>
          <w:szCs w:val="16"/>
          <w:u w:val="single" w:color="4472C4" w:themeColor="accent1"/>
          <w:lang w:val="nl-BE"/>
        </w:rPr>
      </w:pPr>
      <w:r w:rsidRPr="00AC0EA9">
        <w:rPr>
          <w:color w:val="4472C4" w:themeColor="accent1"/>
          <w:sz w:val="28"/>
          <w:szCs w:val="28"/>
          <w:u w:val="single" w:color="4472C4" w:themeColor="accent1"/>
          <w:lang w:val="nl-BE"/>
        </w:rPr>
        <w:t>Betrokken beroepsgebied</w:t>
      </w:r>
    </w:p>
    <w:p w14:paraId="74522CD4" w14:textId="77777777" w:rsidR="009A1713" w:rsidRPr="00C8695F" w:rsidRDefault="009A1713" w:rsidP="00CC0BCF">
      <w:pPr>
        <w:pStyle w:val="Paragraphedeliste"/>
        <w:spacing w:after="0"/>
        <w:ind w:left="714"/>
        <w:jc w:val="both"/>
        <w:rPr>
          <w:lang w:val="nl-BE"/>
        </w:rPr>
      </w:pPr>
    </w:p>
    <w:p w14:paraId="0ADF59E9" w14:textId="59EE3176" w:rsidR="004D2300" w:rsidRPr="00C8695F" w:rsidRDefault="004D2300" w:rsidP="00CC0BCF">
      <w:pPr>
        <w:pStyle w:val="Paragraphedeliste"/>
        <w:spacing w:after="0"/>
        <w:ind w:left="714"/>
        <w:jc w:val="both"/>
        <w:rPr>
          <w:lang w:val="nl-BE"/>
        </w:rPr>
      </w:pPr>
      <w:r w:rsidRPr="00C8695F">
        <w:rPr>
          <w:lang w:val="nl-BE"/>
        </w:rPr>
        <w:t xml:space="preserve">Uit de </w:t>
      </w:r>
      <w:r w:rsidR="003F339D" w:rsidRPr="00C8695F">
        <w:rPr>
          <w:lang w:val="nl-BE"/>
        </w:rPr>
        <w:t>survey van het CTR in 2022</w:t>
      </w:r>
      <w:r w:rsidRPr="00C8695F">
        <w:rPr>
          <w:lang w:val="nl-BE"/>
        </w:rPr>
        <w:t xml:space="preserve"> blijkt dat </w:t>
      </w:r>
      <w:r w:rsidR="00011BC8" w:rsidRPr="00C8695F">
        <w:rPr>
          <w:lang w:val="nl-BE"/>
        </w:rPr>
        <w:t>59</w:t>
      </w:r>
      <w:r w:rsidRPr="00C8695F">
        <w:rPr>
          <w:lang w:val="nl-BE"/>
        </w:rPr>
        <w:t xml:space="preserve"> </w:t>
      </w:r>
      <w:r w:rsidR="00011BC8" w:rsidRPr="00C8695F">
        <w:rPr>
          <w:lang w:val="nl-BE"/>
        </w:rPr>
        <w:t>bedr</w:t>
      </w:r>
      <w:r w:rsidR="00A24F6C" w:rsidRPr="00C8695F">
        <w:rPr>
          <w:lang w:val="nl-BE"/>
        </w:rPr>
        <w:t>ijfsrevisoren(kantoren)</w:t>
      </w:r>
      <w:r w:rsidRPr="00C8695F">
        <w:rPr>
          <w:lang w:val="nl-BE"/>
        </w:rPr>
        <w:t xml:space="preserve"> </w:t>
      </w:r>
      <w:r w:rsidR="00D8107B" w:rsidRPr="00C8695F">
        <w:rPr>
          <w:lang w:val="nl-BE"/>
        </w:rPr>
        <w:t>gaven aan</w:t>
      </w:r>
      <w:r w:rsidRPr="00C8695F">
        <w:rPr>
          <w:lang w:val="nl-BE"/>
        </w:rPr>
        <w:t xml:space="preserve"> dat zij cliënten</w:t>
      </w:r>
      <w:r w:rsidR="00D8107B" w:rsidRPr="00C8695F">
        <w:rPr>
          <w:lang w:val="nl-BE"/>
        </w:rPr>
        <w:t xml:space="preserve"> hebben</w:t>
      </w:r>
      <w:r w:rsidRPr="00C8695F">
        <w:rPr>
          <w:lang w:val="nl-BE"/>
        </w:rPr>
        <w:t xml:space="preserve"> </w:t>
      </w:r>
      <w:r w:rsidR="00A24F6C" w:rsidRPr="00C8695F">
        <w:rPr>
          <w:lang w:val="nl-BE"/>
        </w:rPr>
        <w:t>in de sector van de tweehandswagens.</w:t>
      </w:r>
      <w:r w:rsidRPr="00C8695F">
        <w:rPr>
          <w:lang w:val="nl-BE"/>
        </w:rPr>
        <w:t xml:space="preserve"> </w:t>
      </w:r>
      <w:r w:rsidR="001112FA" w:rsidRPr="00C8695F">
        <w:rPr>
          <w:lang w:val="nl-BE"/>
        </w:rPr>
        <w:t>Het gaat om een totaal van 418 cliënten.</w:t>
      </w:r>
    </w:p>
    <w:p w14:paraId="62C6D3B7" w14:textId="77777777" w:rsidR="004D2300" w:rsidRPr="00C8695F" w:rsidRDefault="004D2300" w:rsidP="00CC0BCF">
      <w:pPr>
        <w:pStyle w:val="Paragraphedeliste"/>
        <w:spacing w:after="0"/>
        <w:ind w:left="714"/>
        <w:jc w:val="both"/>
        <w:rPr>
          <w:lang w:val="nl-BE"/>
        </w:rPr>
      </w:pPr>
    </w:p>
    <w:p w14:paraId="7FC10EDD" w14:textId="77777777" w:rsidR="00D039CD" w:rsidRPr="00C8695F" w:rsidRDefault="00D039CD" w:rsidP="00CC0BCF">
      <w:pPr>
        <w:pStyle w:val="Paragraphedeliste"/>
        <w:spacing w:before="240"/>
        <w:ind w:left="714"/>
        <w:jc w:val="both"/>
        <w:rPr>
          <w:sz w:val="16"/>
          <w:szCs w:val="16"/>
          <w:lang w:val="nl-BE"/>
        </w:rPr>
      </w:pPr>
    </w:p>
    <w:p w14:paraId="1CF4E3F5" w14:textId="739D600F" w:rsidR="009B52F9" w:rsidRPr="00AC0EA9" w:rsidRDefault="009B52F9" w:rsidP="00CC0BCF">
      <w:pPr>
        <w:pStyle w:val="Paragraphedeliste"/>
        <w:numPr>
          <w:ilvl w:val="0"/>
          <w:numId w:val="1"/>
        </w:numPr>
        <w:spacing w:before="240" w:after="480"/>
        <w:ind w:left="714" w:hanging="357"/>
        <w:jc w:val="both"/>
        <w:rPr>
          <w:color w:val="4472C4" w:themeColor="accent1"/>
          <w:sz w:val="28"/>
          <w:szCs w:val="28"/>
          <w:u w:val="single" w:color="4472C4" w:themeColor="accent1"/>
          <w:lang w:val="nl-BE"/>
        </w:rPr>
      </w:pPr>
      <w:r w:rsidRPr="00AC0EA9">
        <w:rPr>
          <w:color w:val="4472C4" w:themeColor="accent1"/>
          <w:sz w:val="28"/>
          <w:szCs w:val="28"/>
          <w:u w:val="single" w:color="4472C4" w:themeColor="accent1"/>
          <w:lang w:val="nl-BE"/>
        </w:rPr>
        <w:t>Indicat</w:t>
      </w:r>
      <w:r w:rsidR="00EE3734" w:rsidRPr="00AC0EA9">
        <w:rPr>
          <w:color w:val="4472C4" w:themeColor="accent1"/>
          <w:sz w:val="28"/>
          <w:szCs w:val="28"/>
          <w:u w:val="single" w:color="4472C4" w:themeColor="accent1"/>
          <w:lang w:val="nl-BE"/>
        </w:rPr>
        <w:t>oren van de dreiging</w:t>
      </w:r>
    </w:p>
    <w:p w14:paraId="7DB77016" w14:textId="77777777" w:rsidR="003E3081" w:rsidRPr="00C8695F" w:rsidRDefault="003E3081" w:rsidP="00CC0BCF">
      <w:pPr>
        <w:pStyle w:val="Paragraphedeliste"/>
        <w:spacing w:before="240" w:after="480"/>
        <w:ind w:left="714"/>
        <w:jc w:val="both"/>
        <w:rPr>
          <w:color w:val="2F5496" w:themeColor="accent1" w:themeShade="BF"/>
          <w:sz w:val="16"/>
          <w:szCs w:val="16"/>
          <w:u w:val="single" w:color="4472C4" w:themeColor="accent1"/>
          <w:lang w:val="nl-BE"/>
        </w:rPr>
      </w:pPr>
    </w:p>
    <w:p w14:paraId="3C4FDB0F" w14:textId="77777777" w:rsidR="00A52ADA" w:rsidRPr="00C8695F" w:rsidRDefault="00A52ADA" w:rsidP="00A52ADA">
      <w:pPr>
        <w:pStyle w:val="Paragraphedeliste"/>
        <w:numPr>
          <w:ilvl w:val="1"/>
          <w:numId w:val="1"/>
        </w:numPr>
        <w:spacing w:before="240" w:after="480"/>
        <w:jc w:val="both"/>
        <w:rPr>
          <w:lang w:val="nl-BE"/>
        </w:rPr>
      </w:pPr>
      <w:r w:rsidRPr="00C8695F">
        <w:rPr>
          <w:lang w:val="nl-BE"/>
        </w:rPr>
        <w:t>Veelvuldige vaststellingen van inbreuken op de betalingslimiet in contanten;</w:t>
      </w:r>
    </w:p>
    <w:p w14:paraId="3E1AFBF0" w14:textId="77777777" w:rsidR="00A52ADA" w:rsidRPr="00C8695F" w:rsidRDefault="00A52ADA" w:rsidP="00A52ADA">
      <w:pPr>
        <w:pStyle w:val="Paragraphedeliste"/>
        <w:numPr>
          <w:ilvl w:val="1"/>
          <w:numId w:val="1"/>
        </w:numPr>
        <w:spacing w:before="240" w:after="480"/>
        <w:jc w:val="both"/>
        <w:rPr>
          <w:lang w:val="nl-BE"/>
        </w:rPr>
      </w:pPr>
      <w:r w:rsidRPr="00C8695F">
        <w:rPr>
          <w:lang w:val="nl-BE"/>
        </w:rPr>
        <w:t>De aan- en verkoopactiviteiten met betrekking tot tweedehandsvoertuigen zijn aanwezig op het hele nationale grondgebied;</w:t>
      </w:r>
    </w:p>
    <w:p w14:paraId="42A2B8D0" w14:textId="77777777" w:rsidR="001563EC" w:rsidRDefault="00A52ADA" w:rsidP="00A52ADA">
      <w:pPr>
        <w:pStyle w:val="Paragraphedeliste"/>
        <w:numPr>
          <w:ilvl w:val="1"/>
          <w:numId w:val="1"/>
        </w:numPr>
        <w:spacing w:before="240" w:after="480"/>
        <w:jc w:val="both"/>
        <w:rPr>
          <w:lang w:val="nl-BE"/>
        </w:rPr>
      </w:pPr>
      <w:r w:rsidRPr="00C8695F">
        <w:rPr>
          <w:lang w:val="nl-BE"/>
        </w:rPr>
        <w:t>Dit profiel recycleert fondsen die hun oorsprong vinden in zware vormen van criminaliteit (handel in verdovende middelen, georganiseerde misdaad, …)</w:t>
      </w:r>
    </w:p>
    <w:p w14:paraId="74D2AA83" w14:textId="662A71F9" w:rsidR="001563EC" w:rsidRPr="00C8695F" w:rsidRDefault="001563EC" w:rsidP="001563EC">
      <w:pPr>
        <w:pStyle w:val="Paragraphedeliste"/>
        <w:numPr>
          <w:ilvl w:val="1"/>
          <w:numId w:val="1"/>
        </w:numPr>
        <w:spacing w:before="240" w:after="480"/>
        <w:jc w:val="both"/>
        <w:rPr>
          <w:lang w:val="nl-BE"/>
        </w:rPr>
      </w:pPr>
      <w:r w:rsidRPr="001563EC">
        <w:rPr>
          <w:lang w:val="nl-BE"/>
        </w:rPr>
        <w:lastRenderedPageBreak/>
        <w:t>De verhouding verkoop binnenland versus verkoop buitenland</w:t>
      </w:r>
      <w:r>
        <w:rPr>
          <w:lang w:val="nl-BE"/>
        </w:rPr>
        <w:t>:</w:t>
      </w:r>
      <w:r w:rsidRPr="001563EC">
        <w:rPr>
          <w:lang w:val="nl-BE"/>
        </w:rPr>
        <w:t xml:space="preserve"> </w:t>
      </w:r>
      <w:r>
        <w:rPr>
          <w:lang w:val="nl-BE"/>
        </w:rPr>
        <w:t>b</w:t>
      </w:r>
      <w:r w:rsidRPr="001563EC">
        <w:rPr>
          <w:lang w:val="nl-BE"/>
        </w:rPr>
        <w:t xml:space="preserve">ij autohandelaren waar het vermoeden bestaat dat zij betrokken zijn bij cash </w:t>
      </w:r>
      <w:proofErr w:type="spellStart"/>
      <w:r w:rsidRPr="001563EC">
        <w:rPr>
          <w:lang w:val="nl-BE"/>
        </w:rPr>
        <w:t>integration</w:t>
      </w:r>
      <w:proofErr w:type="spellEnd"/>
      <w:r w:rsidR="00F011AC">
        <w:rPr>
          <w:rStyle w:val="Appelnotedebasdep"/>
          <w:lang w:val="nl-BE"/>
        </w:rPr>
        <w:footnoteReference w:id="1"/>
      </w:r>
      <w:r w:rsidRPr="001563EC">
        <w:rPr>
          <w:lang w:val="nl-BE"/>
        </w:rPr>
        <w:t xml:space="preserve"> bedraagt de buitenlandse omzet aanzienlijker meer ten opzichte van de totale omzet dan wanneer men niet betrokken is bij cash </w:t>
      </w:r>
      <w:proofErr w:type="spellStart"/>
      <w:r w:rsidRPr="001563EC">
        <w:rPr>
          <w:lang w:val="nl-BE"/>
        </w:rPr>
        <w:t>integration</w:t>
      </w:r>
      <w:proofErr w:type="spellEnd"/>
      <w:r w:rsidR="003D4D53">
        <w:rPr>
          <w:lang w:val="nl-BE"/>
        </w:rPr>
        <w:t>;</w:t>
      </w:r>
    </w:p>
    <w:p w14:paraId="4D124FC7" w14:textId="7DD1C8FD" w:rsidR="003D4D53" w:rsidRDefault="00710F6E" w:rsidP="00A52ADA">
      <w:pPr>
        <w:pStyle w:val="Paragraphedeliste"/>
        <w:numPr>
          <w:ilvl w:val="1"/>
          <w:numId w:val="1"/>
        </w:numPr>
        <w:spacing w:before="240" w:after="480"/>
        <w:jc w:val="both"/>
        <w:rPr>
          <w:lang w:val="nl-BE"/>
        </w:rPr>
      </w:pPr>
      <w:r w:rsidRPr="00710F6E">
        <w:rPr>
          <w:lang w:val="nl-BE"/>
        </w:rPr>
        <w:t>Geen showroom</w:t>
      </w:r>
      <w:r w:rsidR="003D4D53">
        <w:rPr>
          <w:lang w:val="nl-BE"/>
        </w:rPr>
        <w:t>;</w:t>
      </w:r>
    </w:p>
    <w:p w14:paraId="78A404D1" w14:textId="20A7BC10" w:rsidR="002F2419" w:rsidRPr="00C8695F" w:rsidRDefault="003D4D53" w:rsidP="00A52ADA">
      <w:pPr>
        <w:pStyle w:val="Paragraphedeliste"/>
        <w:numPr>
          <w:ilvl w:val="1"/>
          <w:numId w:val="1"/>
        </w:numPr>
        <w:spacing w:before="240" w:after="480"/>
        <w:jc w:val="both"/>
        <w:rPr>
          <w:lang w:val="nl-BE"/>
        </w:rPr>
      </w:pPr>
      <w:r>
        <w:rPr>
          <w:rFonts w:eastAsia="Times New Roman"/>
          <w:lang w:val="nl-BE"/>
        </w:rPr>
        <w:t>Korte doorlooptijd van de handelsvoorraad</w:t>
      </w:r>
      <w:r w:rsidR="00A52ADA" w:rsidRPr="00C8695F">
        <w:rPr>
          <w:lang w:val="nl-BE"/>
        </w:rPr>
        <w:t>.</w:t>
      </w:r>
    </w:p>
    <w:p w14:paraId="2D25CB89" w14:textId="77777777" w:rsidR="00A52ADA" w:rsidRPr="00C8695F" w:rsidRDefault="00A52ADA" w:rsidP="00A52ADA">
      <w:pPr>
        <w:pStyle w:val="Paragraphedeliste"/>
        <w:spacing w:before="240" w:after="480"/>
        <w:ind w:left="1352"/>
        <w:jc w:val="both"/>
        <w:rPr>
          <w:lang w:val="nl-BE"/>
        </w:rPr>
      </w:pPr>
    </w:p>
    <w:p w14:paraId="19BBABDD" w14:textId="40270D84" w:rsidR="002F2419" w:rsidRPr="00AC0EA9" w:rsidRDefault="002F2419" w:rsidP="00CC0BCF">
      <w:pPr>
        <w:pStyle w:val="Paragraphedeliste"/>
        <w:numPr>
          <w:ilvl w:val="0"/>
          <w:numId w:val="1"/>
        </w:numPr>
        <w:spacing w:before="240" w:after="480"/>
        <w:ind w:left="714" w:hanging="357"/>
        <w:jc w:val="both"/>
        <w:rPr>
          <w:color w:val="4472C4" w:themeColor="accent1"/>
          <w:sz w:val="28"/>
          <w:szCs w:val="28"/>
          <w:u w:val="single" w:color="4472C4" w:themeColor="accent1"/>
          <w:lang w:val="nl-BE"/>
        </w:rPr>
      </w:pPr>
      <w:r w:rsidRPr="00AC0EA9">
        <w:rPr>
          <w:color w:val="4472C4" w:themeColor="accent1"/>
          <w:sz w:val="28"/>
          <w:szCs w:val="28"/>
          <w:u w:val="single" w:color="4472C4" w:themeColor="accent1"/>
          <w:lang w:val="nl-BE"/>
        </w:rPr>
        <w:t>A</w:t>
      </w:r>
      <w:r w:rsidR="00A52ADA" w:rsidRPr="00AC0EA9">
        <w:rPr>
          <w:color w:val="4472C4" w:themeColor="accent1"/>
          <w:sz w:val="28"/>
          <w:szCs w:val="28"/>
          <w:u w:val="single" w:color="4472C4" w:themeColor="accent1"/>
          <w:lang w:val="nl-BE"/>
        </w:rPr>
        <w:t>fzwakking van de dreiging</w:t>
      </w:r>
    </w:p>
    <w:p w14:paraId="5760D0C6" w14:textId="77777777" w:rsidR="002F2419" w:rsidRPr="00C8695F" w:rsidRDefault="002F2419" w:rsidP="00CC0BCF">
      <w:pPr>
        <w:pStyle w:val="Paragraphedeliste"/>
        <w:spacing w:before="240" w:after="480"/>
        <w:ind w:left="714"/>
        <w:jc w:val="both"/>
        <w:rPr>
          <w:color w:val="2F5496" w:themeColor="accent1" w:themeShade="BF"/>
          <w:sz w:val="16"/>
          <w:szCs w:val="16"/>
          <w:u w:val="single" w:color="4472C4" w:themeColor="accent1"/>
          <w:lang w:val="nl-BE"/>
        </w:rPr>
      </w:pPr>
    </w:p>
    <w:p w14:paraId="5E11AA72" w14:textId="77777777" w:rsidR="0063666B" w:rsidRPr="00C8695F" w:rsidRDefault="0063666B" w:rsidP="0063666B">
      <w:pPr>
        <w:pStyle w:val="Paragraphedeliste"/>
        <w:numPr>
          <w:ilvl w:val="1"/>
          <w:numId w:val="1"/>
        </w:numPr>
        <w:spacing w:before="240" w:after="480"/>
        <w:jc w:val="both"/>
        <w:rPr>
          <w:lang w:val="nl-BE"/>
        </w:rPr>
      </w:pPr>
      <w:r w:rsidRPr="00C8695F">
        <w:rPr>
          <w:lang w:val="nl-BE"/>
        </w:rPr>
        <w:t>Weinig of geen betrokkenheid van risicogebieden;</w:t>
      </w:r>
    </w:p>
    <w:p w14:paraId="09DBDD7C" w14:textId="66C4CFAC" w:rsidR="003E3081" w:rsidRPr="00C8695F" w:rsidRDefault="0063666B" w:rsidP="0063666B">
      <w:pPr>
        <w:pStyle w:val="Paragraphedeliste"/>
        <w:numPr>
          <w:ilvl w:val="1"/>
          <w:numId w:val="1"/>
        </w:numPr>
        <w:spacing w:before="240" w:after="480"/>
        <w:jc w:val="both"/>
        <w:rPr>
          <w:lang w:val="nl-BE"/>
        </w:rPr>
      </w:pPr>
      <w:r w:rsidRPr="00C8695F">
        <w:rPr>
          <w:lang w:val="nl-BE"/>
        </w:rPr>
        <w:t>Waar de omzet belangrijk kan zijn, blijven de gemiddelde bedragen per verrichting beperkt;</w:t>
      </w:r>
    </w:p>
    <w:p w14:paraId="275FE7C8" w14:textId="77777777" w:rsidR="0063666B" w:rsidRPr="00C8695F" w:rsidRDefault="0063666B" w:rsidP="0063666B">
      <w:pPr>
        <w:pStyle w:val="Paragraphedeliste"/>
        <w:spacing w:before="240" w:after="480"/>
        <w:ind w:left="1352"/>
        <w:jc w:val="both"/>
        <w:rPr>
          <w:lang w:val="nl-BE"/>
        </w:rPr>
      </w:pPr>
    </w:p>
    <w:p w14:paraId="5C75271F" w14:textId="1D6666E9" w:rsidR="005C0D9E" w:rsidRPr="00AC0EA9" w:rsidRDefault="00936738" w:rsidP="00CC0BCF">
      <w:pPr>
        <w:pStyle w:val="Paragraphedeliste"/>
        <w:numPr>
          <w:ilvl w:val="0"/>
          <w:numId w:val="1"/>
        </w:numPr>
        <w:spacing w:before="240"/>
        <w:ind w:left="714" w:hanging="357"/>
        <w:jc w:val="both"/>
        <w:rPr>
          <w:color w:val="4472C4" w:themeColor="accent1"/>
          <w:sz w:val="28"/>
          <w:szCs w:val="28"/>
          <w:u w:val="single" w:color="4472C4" w:themeColor="accent1"/>
          <w:lang w:val="nl-BE"/>
        </w:rPr>
      </w:pPr>
      <w:proofErr w:type="spellStart"/>
      <w:r w:rsidRPr="00AC0EA9">
        <w:rPr>
          <w:color w:val="4472C4" w:themeColor="accent1"/>
          <w:sz w:val="28"/>
          <w:szCs w:val="28"/>
          <w:u w:val="single" w:color="4472C4" w:themeColor="accent1"/>
          <w:lang w:val="nl-BE"/>
        </w:rPr>
        <w:t>Governance</w:t>
      </w:r>
      <w:proofErr w:type="spellEnd"/>
      <w:r w:rsidRPr="00AC0EA9">
        <w:rPr>
          <w:color w:val="4472C4" w:themeColor="accent1"/>
          <w:sz w:val="28"/>
          <w:szCs w:val="28"/>
          <w:u w:val="single" w:color="4472C4" w:themeColor="accent1"/>
          <w:lang w:val="nl-BE"/>
        </w:rPr>
        <w:t> :</w:t>
      </w:r>
      <w:r w:rsidR="00C512B4" w:rsidRPr="00AC0EA9">
        <w:rPr>
          <w:color w:val="4472C4" w:themeColor="accent1"/>
          <w:sz w:val="28"/>
          <w:szCs w:val="28"/>
          <w:u w:val="single" w:color="4472C4" w:themeColor="accent1"/>
          <w:lang w:val="nl-BE"/>
        </w:rPr>
        <w:t xml:space="preserve"> </w:t>
      </w:r>
    </w:p>
    <w:p w14:paraId="6C94F3E2" w14:textId="77777777" w:rsidR="00712873" w:rsidRPr="00C8695F" w:rsidRDefault="00712873" w:rsidP="00CC0BCF">
      <w:pPr>
        <w:pStyle w:val="Paragraphedeliste"/>
        <w:spacing w:before="240"/>
        <w:ind w:left="714"/>
        <w:jc w:val="both"/>
        <w:rPr>
          <w:color w:val="4472C4" w:themeColor="accent1"/>
          <w:sz w:val="16"/>
          <w:szCs w:val="16"/>
          <w:u w:val="single" w:color="4472C4" w:themeColor="accent1"/>
          <w:lang w:val="nl-BE"/>
        </w:rPr>
      </w:pPr>
    </w:p>
    <w:p w14:paraId="74036AD2" w14:textId="63E8AC22" w:rsidR="00AE7B54" w:rsidRPr="00C8695F" w:rsidRDefault="00D111F8" w:rsidP="00CC0BCF">
      <w:pPr>
        <w:pStyle w:val="Paragraphedeliste"/>
        <w:numPr>
          <w:ilvl w:val="0"/>
          <w:numId w:val="2"/>
        </w:numPr>
        <w:ind w:left="1151" w:hanging="357"/>
        <w:jc w:val="both"/>
        <w:rPr>
          <w:sz w:val="24"/>
          <w:szCs w:val="24"/>
          <w:lang w:val="nl-BE"/>
        </w:rPr>
      </w:pPr>
      <w:r w:rsidRPr="00C8695F">
        <w:rPr>
          <w:sz w:val="24"/>
          <w:szCs w:val="24"/>
          <w:lang w:val="nl-BE"/>
        </w:rPr>
        <w:t>Gebrek van adequate interne controles</w:t>
      </w:r>
      <w:r w:rsidR="00F71107" w:rsidRPr="00C8695F">
        <w:rPr>
          <w:sz w:val="24"/>
          <w:szCs w:val="24"/>
          <w:lang w:val="nl-BE"/>
        </w:rPr>
        <w:t>;</w:t>
      </w:r>
    </w:p>
    <w:p w14:paraId="66ADDACD" w14:textId="70208CFC" w:rsidR="009A173A" w:rsidRPr="00C8695F" w:rsidRDefault="001D2E21" w:rsidP="00CC0BCF">
      <w:pPr>
        <w:pStyle w:val="Paragraphedeliste"/>
        <w:numPr>
          <w:ilvl w:val="0"/>
          <w:numId w:val="2"/>
        </w:numPr>
        <w:ind w:left="1151" w:hanging="357"/>
        <w:jc w:val="both"/>
        <w:rPr>
          <w:sz w:val="24"/>
          <w:szCs w:val="24"/>
          <w:lang w:val="nl-BE"/>
        </w:rPr>
      </w:pPr>
      <w:r w:rsidRPr="00C8695F">
        <w:rPr>
          <w:sz w:val="24"/>
          <w:szCs w:val="24"/>
          <w:lang w:val="nl-BE"/>
        </w:rPr>
        <w:t>Uitgebreide en v</w:t>
      </w:r>
      <w:r w:rsidR="00BC7E05" w:rsidRPr="00C8695F">
        <w:rPr>
          <w:sz w:val="24"/>
          <w:szCs w:val="24"/>
          <w:lang w:val="nl-BE"/>
        </w:rPr>
        <w:t>age maatschappelijke doelen</w:t>
      </w:r>
      <w:r w:rsidR="00F71107" w:rsidRPr="00C8695F">
        <w:rPr>
          <w:sz w:val="24"/>
          <w:szCs w:val="24"/>
          <w:lang w:val="nl-BE"/>
        </w:rPr>
        <w:t>.</w:t>
      </w:r>
    </w:p>
    <w:p w14:paraId="0B81E42B" w14:textId="77777777" w:rsidR="003E3081" w:rsidRPr="00C8695F" w:rsidRDefault="003E3081" w:rsidP="00CC0BCF">
      <w:pPr>
        <w:pStyle w:val="Paragraphedeliste"/>
        <w:ind w:left="1151"/>
        <w:jc w:val="both"/>
        <w:rPr>
          <w:sz w:val="24"/>
          <w:szCs w:val="24"/>
          <w:lang w:val="nl-BE"/>
        </w:rPr>
      </w:pPr>
    </w:p>
    <w:p w14:paraId="3A1F16CC" w14:textId="77777777" w:rsidR="00AE7B54" w:rsidRPr="00C8695F" w:rsidRDefault="00AE7B54" w:rsidP="00CC0BCF">
      <w:pPr>
        <w:pStyle w:val="Paragraphedeliste"/>
        <w:ind w:left="1151"/>
        <w:jc w:val="both"/>
        <w:rPr>
          <w:sz w:val="16"/>
          <w:szCs w:val="16"/>
          <w:lang w:val="nl-BE"/>
        </w:rPr>
      </w:pPr>
    </w:p>
    <w:p w14:paraId="652AADDA" w14:textId="38536F44" w:rsidR="00C512B4" w:rsidRPr="00AC0EA9" w:rsidRDefault="00FA40E3" w:rsidP="00CC0BCF">
      <w:pPr>
        <w:pStyle w:val="Paragraphedeliste"/>
        <w:numPr>
          <w:ilvl w:val="0"/>
          <w:numId w:val="1"/>
        </w:numPr>
        <w:spacing w:before="240"/>
        <w:ind w:left="714" w:hanging="357"/>
        <w:jc w:val="both"/>
        <w:rPr>
          <w:color w:val="4472C4" w:themeColor="accent1"/>
          <w:sz w:val="28"/>
          <w:szCs w:val="28"/>
          <w:u w:val="single" w:color="4472C4" w:themeColor="accent1"/>
          <w:lang w:val="nl-BE"/>
        </w:rPr>
      </w:pPr>
      <w:r w:rsidRPr="00AC0EA9">
        <w:rPr>
          <w:color w:val="4472C4" w:themeColor="accent1"/>
          <w:sz w:val="28"/>
          <w:szCs w:val="28"/>
          <w:u w:val="single" w:color="4472C4" w:themeColor="accent1"/>
          <w:lang w:val="nl-BE"/>
        </w:rPr>
        <w:t xml:space="preserve">Verdachte </w:t>
      </w:r>
      <w:r w:rsidR="00CC6329" w:rsidRPr="00AC0EA9">
        <w:rPr>
          <w:color w:val="4472C4" w:themeColor="accent1"/>
          <w:sz w:val="28"/>
          <w:szCs w:val="28"/>
          <w:u w:val="single" w:color="4472C4" w:themeColor="accent1"/>
          <w:lang w:val="nl-BE"/>
        </w:rPr>
        <w:t>verrichtingen</w:t>
      </w:r>
    </w:p>
    <w:p w14:paraId="434AA601" w14:textId="77777777" w:rsidR="00C512B4" w:rsidRPr="00C8695F" w:rsidRDefault="00C512B4" w:rsidP="00CC0BCF">
      <w:pPr>
        <w:pStyle w:val="Paragraphedeliste"/>
        <w:jc w:val="both"/>
        <w:rPr>
          <w:sz w:val="16"/>
          <w:szCs w:val="16"/>
          <w:lang w:val="nl-BE"/>
        </w:rPr>
      </w:pPr>
    </w:p>
    <w:p w14:paraId="528E08DB" w14:textId="1B7BA824" w:rsidR="003E3081" w:rsidRPr="00C8695F" w:rsidRDefault="00CA1710" w:rsidP="00CC0BCF">
      <w:pPr>
        <w:pStyle w:val="Paragraphedeliste"/>
        <w:numPr>
          <w:ilvl w:val="0"/>
          <w:numId w:val="2"/>
        </w:numPr>
        <w:ind w:left="1151" w:hanging="357"/>
        <w:jc w:val="both"/>
        <w:rPr>
          <w:sz w:val="24"/>
          <w:szCs w:val="24"/>
          <w:lang w:val="nl-BE"/>
        </w:rPr>
      </w:pPr>
      <w:r w:rsidRPr="00C8695F">
        <w:rPr>
          <w:sz w:val="24"/>
          <w:szCs w:val="24"/>
          <w:lang w:val="nl-BE"/>
        </w:rPr>
        <w:t>Gebrek van wettelijke registers</w:t>
      </w:r>
    </w:p>
    <w:p w14:paraId="40E8E4B6" w14:textId="36BAA87A" w:rsidR="00C22F47" w:rsidRPr="00C8695F" w:rsidRDefault="00CC6329" w:rsidP="00CC0BCF">
      <w:pPr>
        <w:pStyle w:val="Paragraphedeliste"/>
        <w:numPr>
          <w:ilvl w:val="0"/>
          <w:numId w:val="2"/>
        </w:numPr>
        <w:ind w:left="1151" w:hanging="357"/>
        <w:jc w:val="both"/>
        <w:rPr>
          <w:sz w:val="24"/>
          <w:szCs w:val="24"/>
          <w:lang w:val="nl-BE"/>
        </w:rPr>
      </w:pPr>
      <w:r>
        <w:rPr>
          <w:sz w:val="24"/>
          <w:szCs w:val="24"/>
          <w:lang w:val="nl-BE"/>
        </w:rPr>
        <w:t>Verrichti</w:t>
      </w:r>
      <w:r w:rsidR="007325FC">
        <w:rPr>
          <w:sz w:val="24"/>
          <w:szCs w:val="24"/>
          <w:lang w:val="nl-BE"/>
        </w:rPr>
        <w:t>ngen</w:t>
      </w:r>
      <w:r w:rsidRPr="00C8695F">
        <w:rPr>
          <w:sz w:val="24"/>
          <w:szCs w:val="24"/>
          <w:lang w:val="nl-BE"/>
        </w:rPr>
        <w:t xml:space="preserve"> </w:t>
      </w:r>
      <w:r w:rsidR="00C22F47" w:rsidRPr="00C8695F">
        <w:rPr>
          <w:sz w:val="24"/>
          <w:szCs w:val="24"/>
          <w:lang w:val="nl-BE"/>
        </w:rPr>
        <w:t>waarbij in contanten wordt betaald</w:t>
      </w:r>
    </w:p>
    <w:p w14:paraId="23D7BCBA" w14:textId="55897230" w:rsidR="000D7969" w:rsidRPr="00C8695F" w:rsidRDefault="008D6936" w:rsidP="00CC0BCF">
      <w:pPr>
        <w:pStyle w:val="Paragraphedeliste"/>
        <w:numPr>
          <w:ilvl w:val="0"/>
          <w:numId w:val="2"/>
        </w:numPr>
        <w:ind w:left="1151" w:hanging="357"/>
        <w:jc w:val="both"/>
        <w:rPr>
          <w:sz w:val="24"/>
          <w:szCs w:val="24"/>
          <w:lang w:val="nl-BE"/>
        </w:rPr>
      </w:pPr>
      <w:r w:rsidRPr="00C8695F">
        <w:rPr>
          <w:sz w:val="24"/>
          <w:szCs w:val="24"/>
          <w:lang w:val="nl-BE"/>
        </w:rPr>
        <w:t>Valse facturen</w:t>
      </w:r>
    </w:p>
    <w:p w14:paraId="630AA656" w14:textId="77777777" w:rsidR="00C22F47" w:rsidRPr="00C8695F" w:rsidRDefault="00C22F47" w:rsidP="00CC0BCF">
      <w:pPr>
        <w:pStyle w:val="Paragraphedeliste"/>
        <w:numPr>
          <w:ilvl w:val="0"/>
          <w:numId w:val="2"/>
        </w:numPr>
        <w:ind w:left="1151" w:hanging="357"/>
        <w:jc w:val="both"/>
        <w:rPr>
          <w:sz w:val="24"/>
          <w:szCs w:val="24"/>
          <w:lang w:val="nl-BE"/>
        </w:rPr>
      </w:pPr>
      <w:r w:rsidRPr="00C8695F">
        <w:rPr>
          <w:sz w:val="24"/>
          <w:szCs w:val="24"/>
          <w:lang w:val="nl-BE"/>
        </w:rPr>
        <w:t>Vervalsing van documenten</w:t>
      </w:r>
    </w:p>
    <w:p w14:paraId="58C9B499" w14:textId="05F1AF56" w:rsidR="009A173A" w:rsidRPr="00C8695F" w:rsidRDefault="00FD1F53" w:rsidP="00CC0BCF">
      <w:pPr>
        <w:pStyle w:val="Paragraphedeliste"/>
        <w:numPr>
          <w:ilvl w:val="0"/>
          <w:numId w:val="2"/>
        </w:numPr>
        <w:ind w:left="1151" w:hanging="357"/>
        <w:jc w:val="both"/>
        <w:rPr>
          <w:sz w:val="24"/>
          <w:szCs w:val="24"/>
          <w:lang w:val="nl-BE"/>
        </w:rPr>
      </w:pPr>
      <w:r w:rsidRPr="00C8695F">
        <w:rPr>
          <w:sz w:val="24"/>
          <w:szCs w:val="24"/>
          <w:lang w:val="nl-BE"/>
        </w:rPr>
        <w:t>Gebrek van inventarisering</w:t>
      </w:r>
    </w:p>
    <w:p w14:paraId="3AECC49E" w14:textId="78CFE94D" w:rsidR="003E3081" w:rsidRDefault="00C85B7F" w:rsidP="00CC0BCF">
      <w:pPr>
        <w:pStyle w:val="Paragraphedeliste"/>
        <w:numPr>
          <w:ilvl w:val="0"/>
          <w:numId w:val="2"/>
        </w:numPr>
        <w:ind w:left="1151" w:hanging="357"/>
        <w:jc w:val="both"/>
        <w:rPr>
          <w:sz w:val="24"/>
          <w:szCs w:val="24"/>
          <w:lang w:val="nl-BE"/>
        </w:rPr>
      </w:pPr>
      <w:r w:rsidRPr="00C8695F">
        <w:rPr>
          <w:sz w:val="24"/>
          <w:szCs w:val="24"/>
          <w:lang w:val="nl-BE"/>
        </w:rPr>
        <w:t>On</w:t>
      </w:r>
      <w:r w:rsidR="00C8695F" w:rsidRPr="00C8695F">
        <w:rPr>
          <w:sz w:val="24"/>
          <w:szCs w:val="24"/>
          <w:lang w:val="nl-BE"/>
        </w:rPr>
        <w:t>der</w:t>
      </w:r>
      <w:r w:rsidRPr="00C8695F">
        <w:rPr>
          <w:sz w:val="24"/>
          <w:szCs w:val="24"/>
          <w:lang w:val="nl-BE"/>
        </w:rPr>
        <w:t>gewaardeerde voorraden</w:t>
      </w:r>
    </w:p>
    <w:p w14:paraId="5B362369" w14:textId="4385077C" w:rsidR="006834C0" w:rsidRDefault="006834C0" w:rsidP="00CC0BCF">
      <w:pPr>
        <w:pStyle w:val="Paragraphedeliste"/>
        <w:numPr>
          <w:ilvl w:val="0"/>
          <w:numId w:val="2"/>
        </w:numPr>
        <w:ind w:left="1151" w:hanging="357"/>
        <w:jc w:val="both"/>
        <w:rPr>
          <w:sz w:val="24"/>
          <w:szCs w:val="24"/>
          <w:lang w:val="nl-BE"/>
        </w:rPr>
      </w:pPr>
      <w:r w:rsidRPr="006834C0">
        <w:rPr>
          <w:sz w:val="24"/>
          <w:szCs w:val="24"/>
          <w:lang w:val="nl-BE"/>
        </w:rPr>
        <w:t>Aankoop van ex-lease voertuigen</w:t>
      </w:r>
    </w:p>
    <w:p w14:paraId="617CEF8B" w14:textId="748D0CEA" w:rsidR="006834C0" w:rsidRPr="00C8695F" w:rsidRDefault="006834C0" w:rsidP="00CC0BCF">
      <w:pPr>
        <w:pStyle w:val="Paragraphedeliste"/>
        <w:numPr>
          <w:ilvl w:val="0"/>
          <w:numId w:val="2"/>
        </w:numPr>
        <w:ind w:left="1151" w:hanging="357"/>
        <w:jc w:val="both"/>
        <w:rPr>
          <w:sz w:val="24"/>
          <w:szCs w:val="24"/>
          <w:lang w:val="nl-BE"/>
        </w:rPr>
      </w:pPr>
      <w:r w:rsidRPr="006834C0">
        <w:rPr>
          <w:sz w:val="24"/>
          <w:szCs w:val="24"/>
          <w:lang w:val="nl-BE"/>
        </w:rPr>
        <w:t>Aankopen van auto’s in bulk die vervolgens worden geëxporteerd en verhandeld in het buitenland</w:t>
      </w:r>
    </w:p>
    <w:p w14:paraId="521D1381" w14:textId="77777777" w:rsidR="009A173A" w:rsidRPr="00C8695F" w:rsidRDefault="009A173A" w:rsidP="009A173A">
      <w:pPr>
        <w:pStyle w:val="Paragraphedeliste"/>
        <w:ind w:left="1151"/>
        <w:rPr>
          <w:sz w:val="24"/>
          <w:szCs w:val="24"/>
          <w:lang w:val="nl-BE"/>
        </w:rPr>
      </w:pPr>
    </w:p>
    <w:p w14:paraId="57F990DD" w14:textId="77777777" w:rsidR="00CC0BCF" w:rsidRPr="00C8695F" w:rsidRDefault="00CC0BCF">
      <w:pPr>
        <w:rPr>
          <w:rFonts w:ascii="Times New Roman" w:hAnsi="Times New Roman" w:cs="Times New Roman"/>
          <w:b/>
          <w:bCs/>
          <w:color w:val="000000"/>
          <w:sz w:val="32"/>
          <w:szCs w:val="32"/>
          <w:lang w:val="nl-BE"/>
        </w:rPr>
      </w:pPr>
      <w:r w:rsidRPr="00C8695F">
        <w:rPr>
          <w:b/>
          <w:bCs/>
          <w:sz w:val="32"/>
          <w:szCs w:val="32"/>
          <w:lang w:val="nl-BE"/>
        </w:rPr>
        <w:br w:type="page"/>
      </w:r>
    </w:p>
    <w:p w14:paraId="785BDCD9" w14:textId="2EFF4754" w:rsidR="00722FE8" w:rsidRPr="00E04E24" w:rsidRDefault="00C4092E" w:rsidP="00C4092E">
      <w:pPr>
        <w:pStyle w:val="Default"/>
        <w:jc w:val="center"/>
        <w:rPr>
          <w:b/>
          <w:bCs/>
          <w:sz w:val="32"/>
          <w:szCs w:val="32"/>
          <w:lang w:val="nl-BE"/>
        </w:rPr>
      </w:pPr>
      <w:r w:rsidRPr="00E04E24">
        <w:rPr>
          <w:b/>
          <w:bCs/>
          <w:sz w:val="32"/>
          <w:szCs w:val="32"/>
          <w:lang w:val="nl-BE"/>
        </w:rPr>
        <w:lastRenderedPageBreak/>
        <w:t>Extr</w:t>
      </w:r>
      <w:r w:rsidR="007F459E" w:rsidRPr="00E04E24">
        <w:rPr>
          <w:b/>
          <w:bCs/>
          <w:sz w:val="32"/>
          <w:szCs w:val="32"/>
          <w:lang w:val="nl-BE"/>
        </w:rPr>
        <w:t xml:space="preserve">act - </w:t>
      </w:r>
      <w:r w:rsidR="00892D5F" w:rsidRPr="00E04E24">
        <w:rPr>
          <w:b/>
          <w:bCs/>
          <w:sz w:val="32"/>
          <w:szCs w:val="32"/>
          <w:lang w:val="nl-BE"/>
        </w:rPr>
        <w:t xml:space="preserve">Activiteitenverslag van de CFI </w:t>
      </w:r>
      <w:r w:rsidR="000D7969" w:rsidRPr="00E04E24">
        <w:rPr>
          <w:b/>
          <w:bCs/>
          <w:sz w:val="32"/>
          <w:szCs w:val="32"/>
          <w:lang w:val="nl-BE"/>
        </w:rPr>
        <w:t>- 2016 :</w:t>
      </w:r>
    </w:p>
    <w:p w14:paraId="2F4B0269" w14:textId="361868EF" w:rsidR="000D7969" w:rsidRPr="00E04E24" w:rsidRDefault="000D7969" w:rsidP="00712873">
      <w:pPr>
        <w:pStyle w:val="Paragraphedeliste"/>
        <w:ind w:left="1151"/>
        <w:rPr>
          <w:sz w:val="24"/>
          <w:szCs w:val="24"/>
          <w:lang w:val="nl-BE"/>
        </w:rPr>
      </w:pPr>
    </w:p>
    <w:p w14:paraId="05FDAC47" w14:textId="3F000902" w:rsidR="003E3081" w:rsidRPr="003F4D84" w:rsidRDefault="003F4D84" w:rsidP="003E3081">
      <w:pPr>
        <w:pStyle w:val="Titre"/>
        <w:tabs>
          <w:tab w:val="left" w:pos="940"/>
        </w:tabs>
        <w:ind w:leftChars="567" w:left="1247" w:rightChars="567" w:right="1247"/>
        <w:rPr>
          <w:lang w:val="nl-BE"/>
        </w:rPr>
      </w:pPr>
      <w:r w:rsidRPr="003F4D84">
        <w:rPr>
          <w:color w:val="010101"/>
          <w:lang w:val="nl-BE"/>
        </w:rPr>
        <w:t>2.6.</w:t>
      </w:r>
      <w:r w:rsidRPr="003F4D84">
        <w:rPr>
          <w:color w:val="010101"/>
          <w:spacing w:val="-2"/>
          <w:lang w:val="nl-BE"/>
        </w:rPr>
        <w:t xml:space="preserve"> Tweedehandsvoertuigen</w:t>
      </w:r>
    </w:p>
    <w:p w14:paraId="6FC6CE65" w14:textId="77777777" w:rsidR="003E3081" w:rsidRPr="003F4D84" w:rsidRDefault="003E3081" w:rsidP="003E3081">
      <w:pPr>
        <w:pStyle w:val="Corpsdetexte"/>
        <w:spacing w:before="9"/>
        <w:ind w:leftChars="567" w:left="1247" w:rightChars="567" w:right="1247"/>
        <w:rPr>
          <w:rFonts w:ascii="Arial"/>
          <w:b/>
          <w:lang w:val="nl-BE"/>
        </w:rPr>
      </w:pPr>
    </w:p>
    <w:p w14:paraId="5C9A4B16" w14:textId="0F047660" w:rsidR="00E04E24" w:rsidRPr="00E04E24" w:rsidRDefault="00E04E24" w:rsidP="003F4D84">
      <w:pPr>
        <w:pStyle w:val="Corpsdetexte"/>
        <w:spacing w:line="247" w:lineRule="auto"/>
        <w:ind w:left="1247" w:right="1247"/>
        <w:jc w:val="both"/>
        <w:rPr>
          <w:color w:val="0F0F0F"/>
          <w:lang w:val="nl-BE"/>
        </w:rPr>
      </w:pPr>
      <w:r w:rsidRPr="00E04E24">
        <w:rPr>
          <w:color w:val="0F0F0F"/>
          <w:lang w:val="nl-BE"/>
        </w:rPr>
        <w:t>Contanten blijven nog steeds een belangrijk middel om geld wit te wassen. Sectoren die contanten aanvaarden zijn dus kwetsbaarder op het gebied van witwassen. De handel in tweedehandsvoertuigen zorgt voor grote financiële stromen. De grens van 3.000 EUR laat in feite toe om talrijke voertuigen in contanten te verkopen (de prijs van ongeveer de helft van de beschikbare voertuigen op de tweedehandsmarkt ligt lager dan 3.000 EUR). Er is bovendien geen enkele beperking op het gebruik van contanten voor de verkoop aan particulieren. Bij de verkoop van tweedehandsvoertuigen kunnen dus grote hoeveelheden contant geld worden gebruikt. Bij de doorverkoop kan ook bij de gemaakte winstmarge vuil geld worden gemengd.</w:t>
      </w:r>
    </w:p>
    <w:p w14:paraId="20B3E716" w14:textId="77777777" w:rsidR="003F4D84" w:rsidRDefault="003F4D84" w:rsidP="003F4D84">
      <w:pPr>
        <w:pStyle w:val="Corpsdetexte"/>
        <w:spacing w:line="247" w:lineRule="auto"/>
        <w:ind w:leftChars="567" w:left="1247" w:rightChars="567" w:right="1247"/>
        <w:jc w:val="both"/>
        <w:rPr>
          <w:color w:val="0F0F0F"/>
          <w:lang w:val="nl-BE"/>
        </w:rPr>
      </w:pPr>
    </w:p>
    <w:p w14:paraId="25744E7C" w14:textId="76C5E10F" w:rsidR="00E04E24" w:rsidRDefault="00E04E24" w:rsidP="003F4D84">
      <w:pPr>
        <w:pStyle w:val="Corpsdetexte"/>
        <w:spacing w:line="247" w:lineRule="auto"/>
        <w:ind w:leftChars="567" w:left="1247" w:rightChars="567" w:right="1247"/>
        <w:jc w:val="both"/>
        <w:rPr>
          <w:color w:val="0F0F0F"/>
          <w:lang w:val="nl-BE"/>
        </w:rPr>
      </w:pPr>
      <w:r w:rsidRPr="00E04E24">
        <w:rPr>
          <w:color w:val="0F0F0F"/>
          <w:lang w:val="nl-BE"/>
        </w:rPr>
        <w:t>In de sector kunnen ook valse documenten worden opgesteld, door het verschil in het zwart te betalen, is het mogelijk om een lager bedrag in rekening te brengen voor de verkoop tussen de handel in tweedehandsvoertuigen en de koper. Omgekeerd kan een te hoog bedrag in rekening worden gebracht voor de aankoop tussen het bedrijf en de verkoper. Ook de boekhouding kan gemakkelijk worden gemanipuleerd omdat de prijzen schommelen indien de verkoop onderhands gebeurt.</w:t>
      </w:r>
    </w:p>
    <w:p w14:paraId="040E6DE1" w14:textId="77777777" w:rsidR="003F4D84" w:rsidRDefault="003F4D84" w:rsidP="003F4D84">
      <w:pPr>
        <w:pStyle w:val="Corpsdetexte"/>
        <w:spacing w:line="247" w:lineRule="auto"/>
        <w:ind w:left="1247" w:right="1247"/>
        <w:jc w:val="both"/>
        <w:rPr>
          <w:color w:val="0F0F0F"/>
          <w:lang w:val="nl-BE"/>
        </w:rPr>
      </w:pPr>
    </w:p>
    <w:p w14:paraId="4752AB9D" w14:textId="5FE7A948" w:rsidR="00E04E24" w:rsidRPr="00E04E24" w:rsidRDefault="00E04E24" w:rsidP="003F4D84">
      <w:pPr>
        <w:pStyle w:val="Corpsdetexte"/>
        <w:spacing w:line="247" w:lineRule="auto"/>
        <w:ind w:left="1247" w:right="1247"/>
        <w:jc w:val="both"/>
        <w:rPr>
          <w:color w:val="0F0F0F"/>
          <w:lang w:val="nl-BE"/>
        </w:rPr>
      </w:pPr>
      <w:r w:rsidRPr="00E04E24">
        <w:rPr>
          <w:color w:val="0F0F0F"/>
          <w:lang w:val="nl-BE"/>
        </w:rPr>
        <w:t>In- en uitvoeractiviteiten kunnen worden gebruikt om Trade-</w:t>
      </w:r>
      <w:proofErr w:type="spellStart"/>
      <w:r w:rsidRPr="00E04E24">
        <w:rPr>
          <w:color w:val="0F0F0F"/>
          <w:lang w:val="nl-BE"/>
        </w:rPr>
        <w:t>Based</w:t>
      </w:r>
      <w:proofErr w:type="spellEnd"/>
      <w:r w:rsidRPr="00E04E24">
        <w:rPr>
          <w:color w:val="0F0F0F"/>
          <w:lang w:val="nl-BE"/>
        </w:rPr>
        <w:t xml:space="preserve"> Money </w:t>
      </w:r>
      <w:proofErr w:type="spellStart"/>
      <w:r w:rsidRPr="00E04E24">
        <w:rPr>
          <w:color w:val="0F0F0F"/>
          <w:lang w:val="nl-BE"/>
        </w:rPr>
        <w:t>Laundering</w:t>
      </w:r>
      <w:proofErr w:type="spellEnd"/>
      <w:r w:rsidRPr="00E04E24">
        <w:rPr>
          <w:color w:val="0F0F0F"/>
          <w:lang w:val="nl-BE"/>
        </w:rPr>
        <w:t xml:space="preserve"> (TBML) te verbergen. Sommige grote exportkanalen doen een beroep op verschillende tussenpersonen in België en in het buitenland. Bij bepaalde uitvoerkanalen, meer bepaald naar West-Afrika, maken deze verschillende tussenpersonen deel uit van dezelfde groep van ondernemingen, wat de kwetsbaarheid verhoogt. Het feit dat er bij de cliënten ook mensen zijn die hier niet wonen is ook een kwetsbaarheidsfactor.</w:t>
      </w:r>
    </w:p>
    <w:p w14:paraId="62F6F589" w14:textId="77777777" w:rsidR="003F4D84" w:rsidRDefault="003F4D84" w:rsidP="003F4D84">
      <w:pPr>
        <w:pStyle w:val="Corpsdetexte"/>
        <w:spacing w:line="247" w:lineRule="auto"/>
        <w:ind w:leftChars="567" w:left="1247" w:rightChars="567" w:right="1247"/>
        <w:jc w:val="both"/>
        <w:rPr>
          <w:color w:val="0F0F0F"/>
          <w:lang w:val="nl-BE"/>
        </w:rPr>
      </w:pPr>
    </w:p>
    <w:p w14:paraId="7C509496" w14:textId="4C9E6543" w:rsidR="00E04E24" w:rsidRPr="00E04E24" w:rsidRDefault="00E04E24" w:rsidP="003F4D84">
      <w:pPr>
        <w:pStyle w:val="Corpsdetexte"/>
        <w:spacing w:line="247" w:lineRule="auto"/>
        <w:ind w:leftChars="567" w:left="1247" w:rightChars="567" w:right="1247"/>
        <w:jc w:val="both"/>
        <w:rPr>
          <w:color w:val="0F0F0F"/>
          <w:lang w:val="nl-BE"/>
        </w:rPr>
      </w:pPr>
      <w:r w:rsidRPr="00E04E24">
        <w:rPr>
          <w:color w:val="0F0F0F"/>
          <w:lang w:val="nl-BE"/>
        </w:rPr>
        <w:t>De overgrote meerderheid van de ondernemingen heeft een goede naam, zijn ingeschreven in de KBO en controle van de uitvoerkanalen is echter moeilijker.</w:t>
      </w:r>
    </w:p>
    <w:p w14:paraId="4ECB791F" w14:textId="77777777" w:rsidR="003F4D84" w:rsidRDefault="003F4D84" w:rsidP="003F4D84">
      <w:pPr>
        <w:pStyle w:val="Corpsdetexte"/>
        <w:spacing w:line="247" w:lineRule="auto"/>
        <w:ind w:left="1247" w:right="1247"/>
        <w:jc w:val="both"/>
        <w:rPr>
          <w:color w:val="0F0F0F"/>
          <w:lang w:val="nl-BE"/>
        </w:rPr>
      </w:pPr>
    </w:p>
    <w:p w14:paraId="03A9BC4C" w14:textId="2A8B4FF4" w:rsidR="00891D67" w:rsidRPr="00C8695F" w:rsidRDefault="00E04E24" w:rsidP="003F4D84">
      <w:pPr>
        <w:pStyle w:val="Corpsdetexte"/>
        <w:spacing w:line="247" w:lineRule="auto"/>
        <w:ind w:left="1247" w:right="1247"/>
        <w:jc w:val="both"/>
        <w:rPr>
          <w:color w:val="0F0F0F"/>
          <w:lang w:val="nl-BE"/>
        </w:rPr>
      </w:pPr>
      <w:r w:rsidRPr="00E04E24">
        <w:rPr>
          <w:color w:val="0F0F0F"/>
          <w:lang w:val="nl-BE"/>
        </w:rPr>
        <w:t>De ervaring van de CFI bevestigt de kwetsbaarheden van de sector, meer bepaald op internationaal vlak. Zo werden er de afgelopen jaren verschillende netwerken van drughandelaars uit Afrika ontmanteld. Uit open bronnen blijkt dat de opbrengst uit cocaïnehandel in Europe niet langer via geldverzending naar Afrika wordt verstuurd maar gebruikt wordt om tweedehandsvoertuigen te kopen die vervolgens per schip naar West-Afrika worden vervoerd</w:t>
      </w:r>
      <w:r w:rsidR="003F4D84">
        <w:rPr>
          <w:color w:val="0F0F0F"/>
          <w:lang w:val="nl-BE"/>
        </w:rPr>
        <w:t>.</w:t>
      </w:r>
    </w:p>
    <w:p w14:paraId="6C76D2E6" w14:textId="77777777" w:rsidR="00BD179D" w:rsidRPr="00C8695F" w:rsidRDefault="00BD179D" w:rsidP="00BD179D">
      <w:pPr>
        <w:pStyle w:val="Corpsdetexte"/>
        <w:spacing w:before="2"/>
        <w:rPr>
          <w:lang w:val="nl-BE"/>
        </w:rPr>
      </w:pPr>
    </w:p>
    <w:p w14:paraId="59DA019F" w14:textId="77777777" w:rsidR="00BD179D" w:rsidRPr="00C8695F" w:rsidRDefault="00BD179D" w:rsidP="00BD179D">
      <w:pPr>
        <w:pStyle w:val="Corpsdetexte"/>
        <w:spacing w:before="1"/>
        <w:rPr>
          <w:sz w:val="15"/>
          <w:lang w:val="nl-BE"/>
        </w:rPr>
      </w:pPr>
    </w:p>
    <w:p w14:paraId="3F2B0C0F" w14:textId="77777777" w:rsidR="00BD179D" w:rsidRPr="00C8695F" w:rsidRDefault="00BD179D" w:rsidP="003E3081">
      <w:pPr>
        <w:pStyle w:val="Corpsdetexte"/>
        <w:spacing w:line="247" w:lineRule="auto"/>
        <w:ind w:leftChars="567" w:left="1247" w:rightChars="567" w:right="1247" w:firstLine="141"/>
        <w:jc w:val="both"/>
        <w:rPr>
          <w:color w:val="0F0F0F"/>
          <w:lang w:val="nl-BE"/>
        </w:rPr>
      </w:pPr>
    </w:p>
    <w:sectPr w:rsidR="00BD179D" w:rsidRPr="00C8695F"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F25C" w14:textId="77777777" w:rsidR="002D662B" w:rsidRDefault="002D662B" w:rsidP="005C0D9E">
      <w:pPr>
        <w:spacing w:after="0" w:line="240" w:lineRule="auto"/>
      </w:pPr>
      <w:r>
        <w:separator/>
      </w:r>
    </w:p>
  </w:endnote>
  <w:endnote w:type="continuationSeparator" w:id="0">
    <w:p w14:paraId="62CDCE6E" w14:textId="77777777" w:rsidR="002D662B" w:rsidRDefault="002D662B"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2B1" w14:textId="1AAD6C69" w:rsidR="00D039CD" w:rsidRDefault="00D039CD">
    <w:pPr>
      <w:pStyle w:val="Pieddepage"/>
    </w:pPr>
  </w:p>
  <w:p w14:paraId="1E0B863B" w14:textId="0A0A0A23" w:rsidR="000D7969" w:rsidRDefault="000D7969">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9EC6" w14:textId="77777777" w:rsidR="002D662B" w:rsidRDefault="002D662B" w:rsidP="005C0D9E">
      <w:pPr>
        <w:spacing w:after="0" w:line="240" w:lineRule="auto"/>
      </w:pPr>
      <w:r>
        <w:separator/>
      </w:r>
    </w:p>
  </w:footnote>
  <w:footnote w:type="continuationSeparator" w:id="0">
    <w:p w14:paraId="256B9522" w14:textId="77777777" w:rsidR="002D662B" w:rsidRDefault="002D662B" w:rsidP="005C0D9E">
      <w:pPr>
        <w:spacing w:after="0" w:line="240" w:lineRule="auto"/>
      </w:pPr>
      <w:r>
        <w:continuationSeparator/>
      </w:r>
    </w:p>
  </w:footnote>
  <w:footnote w:id="1">
    <w:p w14:paraId="0563404B" w14:textId="2E5426C8" w:rsidR="00F011AC" w:rsidRPr="00293361" w:rsidRDefault="00F011AC">
      <w:pPr>
        <w:pStyle w:val="Notedebasdepage"/>
        <w:rPr>
          <w:lang w:val="nl-BE"/>
        </w:rPr>
      </w:pPr>
      <w:r>
        <w:rPr>
          <w:rStyle w:val="Appelnotedebasdep"/>
        </w:rPr>
        <w:footnoteRef/>
      </w:r>
      <w:r w:rsidRPr="00293361">
        <w:rPr>
          <w:lang w:val="nl-BE"/>
        </w:rPr>
        <w:t xml:space="preserve"> De integratiefase is de laatste fase van het witwasproces, waarin geld van illegale oorsprong opnieuw in het legale economische en financiële stelsel wordt geïnjecteerd.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A358DF"/>
    <w:multiLevelType w:val="hybridMultilevel"/>
    <w:tmpl w:val="B0F8BBEC"/>
    <w:lvl w:ilvl="0" w:tplc="5B286AC0">
      <w:numFmt w:val="bullet"/>
      <w:lvlText w:val="-"/>
      <w:lvlJc w:val="left"/>
      <w:pPr>
        <w:ind w:left="1068" w:hanging="360"/>
      </w:pPr>
      <w:rPr>
        <w:rFonts w:ascii="Calibri" w:eastAsiaTheme="minorHAnsi" w:hAnsi="Calibri" w:cs="Calibri" w:hint="default"/>
        <w:sz w:val="28"/>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0"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605E30"/>
    <w:multiLevelType w:val="hybridMultilevel"/>
    <w:tmpl w:val="239EE590"/>
    <w:lvl w:ilvl="0" w:tplc="9B2C754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DAC7F5B"/>
    <w:multiLevelType w:val="hybridMultilevel"/>
    <w:tmpl w:val="08786430"/>
    <w:lvl w:ilvl="0" w:tplc="15525010">
      <w:numFmt w:val="bullet"/>
      <w:lvlText w:val="-"/>
      <w:lvlJc w:val="left"/>
      <w:pPr>
        <w:ind w:left="720" w:hanging="360"/>
      </w:pPr>
      <w:rPr>
        <w:rFonts w:ascii="Calibri" w:eastAsiaTheme="minorHAnsi" w:hAnsi="Calibri" w:cs="Calibri" w:hint="default"/>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3384039"/>
    <w:multiLevelType w:val="multilevel"/>
    <w:tmpl w:val="C9DC7780"/>
    <w:lvl w:ilvl="0">
      <w:start w:val="7"/>
      <w:numFmt w:val="decimal"/>
      <w:lvlText w:val="%1"/>
      <w:lvlJc w:val="left"/>
      <w:pPr>
        <w:ind w:left="696" w:hanging="564"/>
        <w:jc w:val="left"/>
      </w:pPr>
      <w:rPr>
        <w:rFonts w:hint="default"/>
        <w:lang w:val="fr-FR" w:eastAsia="en-US" w:bidi="ar-SA"/>
      </w:rPr>
    </w:lvl>
    <w:lvl w:ilvl="1">
      <w:start w:val="1"/>
      <w:numFmt w:val="decimal"/>
      <w:lvlText w:val="%1.%2"/>
      <w:lvlJc w:val="left"/>
      <w:pPr>
        <w:ind w:left="696" w:hanging="564"/>
        <w:jc w:val="left"/>
      </w:pPr>
      <w:rPr>
        <w:rFonts w:hint="default"/>
        <w:lang w:val="fr-FR" w:eastAsia="en-US" w:bidi="ar-SA"/>
      </w:rPr>
    </w:lvl>
    <w:lvl w:ilvl="2">
      <w:start w:val="6"/>
      <w:numFmt w:val="decimal"/>
      <w:lvlText w:val="%1.%2.%3."/>
      <w:lvlJc w:val="left"/>
      <w:pPr>
        <w:ind w:left="696" w:hanging="564"/>
        <w:jc w:val="left"/>
      </w:pPr>
      <w:rPr>
        <w:rFonts w:ascii="Times New Roman" w:eastAsia="Times New Roman" w:hAnsi="Times New Roman" w:cs="Times New Roman" w:hint="default"/>
        <w:b/>
        <w:bCs/>
        <w:i w:val="0"/>
        <w:iCs w:val="0"/>
        <w:spacing w:val="-3"/>
        <w:w w:val="102"/>
        <w:sz w:val="22"/>
        <w:szCs w:val="22"/>
        <w:lang w:val="fr-FR" w:eastAsia="en-US" w:bidi="ar-SA"/>
      </w:rPr>
    </w:lvl>
    <w:lvl w:ilvl="3">
      <w:numFmt w:val="bullet"/>
      <w:lvlText w:val="•"/>
      <w:lvlJc w:val="left"/>
      <w:pPr>
        <w:ind w:left="3130" w:hanging="564"/>
      </w:pPr>
      <w:rPr>
        <w:rFonts w:hint="default"/>
        <w:lang w:val="fr-FR" w:eastAsia="en-US" w:bidi="ar-SA"/>
      </w:rPr>
    </w:lvl>
    <w:lvl w:ilvl="4">
      <w:numFmt w:val="bullet"/>
      <w:lvlText w:val="•"/>
      <w:lvlJc w:val="left"/>
      <w:pPr>
        <w:ind w:left="3940" w:hanging="564"/>
      </w:pPr>
      <w:rPr>
        <w:rFonts w:hint="default"/>
        <w:lang w:val="fr-FR" w:eastAsia="en-US" w:bidi="ar-SA"/>
      </w:rPr>
    </w:lvl>
    <w:lvl w:ilvl="5">
      <w:numFmt w:val="bullet"/>
      <w:lvlText w:val="•"/>
      <w:lvlJc w:val="left"/>
      <w:pPr>
        <w:ind w:left="4750" w:hanging="564"/>
      </w:pPr>
      <w:rPr>
        <w:rFonts w:hint="default"/>
        <w:lang w:val="fr-FR" w:eastAsia="en-US" w:bidi="ar-SA"/>
      </w:rPr>
    </w:lvl>
    <w:lvl w:ilvl="6">
      <w:numFmt w:val="bullet"/>
      <w:lvlText w:val="•"/>
      <w:lvlJc w:val="left"/>
      <w:pPr>
        <w:ind w:left="5560" w:hanging="564"/>
      </w:pPr>
      <w:rPr>
        <w:rFonts w:hint="default"/>
        <w:lang w:val="fr-FR" w:eastAsia="en-US" w:bidi="ar-SA"/>
      </w:rPr>
    </w:lvl>
    <w:lvl w:ilvl="7">
      <w:numFmt w:val="bullet"/>
      <w:lvlText w:val="•"/>
      <w:lvlJc w:val="left"/>
      <w:pPr>
        <w:ind w:left="6370" w:hanging="564"/>
      </w:pPr>
      <w:rPr>
        <w:rFonts w:hint="default"/>
        <w:lang w:val="fr-FR" w:eastAsia="en-US" w:bidi="ar-SA"/>
      </w:rPr>
    </w:lvl>
    <w:lvl w:ilvl="8">
      <w:numFmt w:val="bullet"/>
      <w:lvlText w:val="•"/>
      <w:lvlJc w:val="left"/>
      <w:pPr>
        <w:ind w:left="7180" w:hanging="564"/>
      </w:pPr>
      <w:rPr>
        <w:rFonts w:hint="default"/>
        <w:lang w:val="fr-FR" w:eastAsia="en-US" w:bidi="ar-SA"/>
      </w:rPr>
    </w:lvl>
  </w:abstractNum>
  <w:abstractNum w:abstractNumId="19"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312F9"/>
    <w:multiLevelType w:val="hybridMultilevel"/>
    <w:tmpl w:val="8A321B9E"/>
    <w:lvl w:ilvl="0" w:tplc="9B2C7540">
      <w:numFmt w:val="bullet"/>
      <w:lvlText w:val="-"/>
      <w:lvlJc w:val="left"/>
      <w:pPr>
        <w:ind w:left="720" w:hanging="360"/>
      </w:pPr>
      <w:rPr>
        <w:rFonts w:ascii="Calibri" w:eastAsiaTheme="minorHAnsi" w:hAnsi="Calibri" w:cs="Calibri" w:hint="default"/>
      </w:rPr>
    </w:lvl>
    <w:lvl w:ilvl="1" w:tplc="BF489D28">
      <w:start w:val="1"/>
      <w:numFmt w:val="bullet"/>
      <w:lvlText w:val="o"/>
      <w:lvlJc w:val="left"/>
      <w:pPr>
        <w:ind w:left="1352" w:hanging="360"/>
      </w:pPr>
      <w:rPr>
        <w:rFonts w:ascii="Courier New" w:hAnsi="Courier New" w:cs="Courier New" w:hint="default"/>
        <w:color w:val="auto"/>
        <w:sz w:val="24"/>
        <w:szCs w:val="24"/>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CD79DA"/>
    <w:multiLevelType w:val="hybridMultilevel"/>
    <w:tmpl w:val="B1D25CD4"/>
    <w:lvl w:ilvl="0" w:tplc="C2E457C6">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2"/>
  </w:num>
  <w:num w:numId="2" w16cid:durableId="1495074996">
    <w:abstractNumId w:val="15"/>
  </w:num>
  <w:num w:numId="3" w16cid:durableId="381291445">
    <w:abstractNumId w:val="14"/>
  </w:num>
  <w:num w:numId="4" w16cid:durableId="1843428260">
    <w:abstractNumId w:val="4"/>
  </w:num>
  <w:num w:numId="5" w16cid:durableId="1655335937">
    <w:abstractNumId w:val="13"/>
  </w:num>
  <w:num w:numId="6" w16cid:durableId="198475671">
    <w:abstractNumId w:val="8"/>
  </w:num>
  <w:num w:numId="7" w16cid:durableId="611134263">
    <w:abstractNumId w:val="2"/>
  </w:num>
  <w:num w:numId="8" w16cid:durableId="632636094">
    <w:abstractNumId w:val="11"/>
  </w:num>
  <w:num w:numId="9" w16cid:durableId="1153907962">
    <w:abstractNumId w:val="0"/>
  </w:num>
  <w:num w:numId="10" w16cid:durableId="1269389438">
    <w:abstractNumId w:val="6"/>
  </w:num>
  <w:num w:numId="11" w16cid:durableId="1074813988">
    <w:abstractNumId w:val="3"/>
  </w:num>
  <w:num w:numId="12" w16cid:durableId="491027007">
    <w:abstractNumId w:val="5"/>
  </w:num>
  <w:num w:numId="13" w16cid:durableId="135876604">
    <w:abstractNumId w:val="12"/>
  </w:num>
  <w:num w:numId="14" w16cid:durableId="764348663">
    <w:abstractNumId w:val="7"/>
  </w:num>
  <w:num w:numId="15" w16cid:durableId="838734017">
    <w:abstractNumId w:val="1"/>
  </w:num>
  <w:num w:numId="16" w16cid:durableId="63839980">
    <w:abstractNumId w:val="21"/>
  </w:num>
  <w:num w:numId="17" w16cid:durableId="192156088">
    <w:abstractNumId w:val="20"/>
  </w:num>
  <w:num w:numId="18" w16cid:durableId="1497577348">
    <w:abstractNumId w:val="24"/>
  </w:num>
  <w:num w:numId="19" w16cid:durableId="1841654329">
    <w:abstractNumId w:val="19"/>
  </w:num>
  <w:num w:numId="20" w16cid:durableId="694044293">
    <w:abstractNumId w:val="10"/>
  </w:num>
  <w:num w:numId="21" w16cid:durableId="210699523">
    <w:abstractNumId w:val="18"/>
  </w:num>
  <w:num w:numId="22" w16cid:durableId="1671593523">
    <w:abstractNumId w:val="9"/>
  </w:num>
  <w:num w:numId="23" w16cid:durableId="1592004531">
    <w:abstractNumId w:val="17"/>
  </w:num>
  <w:num w:numId="24" w16cid:durableId="1621454740">
    <w:abstractNumId w:val="23"/>
  </w:num>
  <w:num w:numId="25" w16cid:durableId="1406562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11BC8"/>
    <w:rsid w:val="000323DC"/>
    <w:rsid w:val="0004075D"/>
    <w:rsid w:val="00060D73"/>
    <w:rsid w:val="000B03AF"/>
    <w:rsid w:val="000D7969"/>
    <w:rsid w:val="000D7D38"/>
    <w:rsid w:val="00103098"/>
    <w:rsid w:val="001112FA"/>
    <w:rsid w:val="001563EC"/>
    <w:rsid w:val="001972F9"/>
    <w:rsid w:val="001D2E21"/>
    <w:rsid w:val="00293361"/>
    <w:rsid w:val="002C16AB"/>
    <w:rsid w:val="002C692F"/>
    <w:rsid w:val="002D05F2"/>
    <w:rsid w:val="002D662B"/>
    <w:rsid w:val="002F2419"/>
    <w:rsid w:val="00364B86"/>
    <w:rsid w:val="003D4D53"/>
    <w:rsid w:val="003D58D0"/>
    <w:rsid w:val="003D648D"/>
    <w:rsid w:val="003E3081"/>
    <w:rsid w:val="003F339D"/>
    <w:rsid w:val="003F4D84"/>
    <w:rsid w:val="00413D6F"/>
    <w:rsid w:val="004D2300"/>
    <w:rsid w:val="004D39E7"/>
    <w:rsid w:val="004D442B"/>
    <w:rsid w:val="004E5650"/>
    <w:rsid w:val="00553816"/>
    <w:rsid w:val="005C0D9E"/>
    <w:rsid w:val="0061072C"/>
    <w:rsid w:val="0063666B"/>
    <w:rsid w:val="006834C0"/>
    <w:rsid w:val="00710F6E"/>
    <w:rsid w:val="00712873"/>
    <w:rsid w:val="00722FE8"/>
    <w:rsid w:val="007325FC"/>
    <w:rsid w:val="00796377"/>
    <w:rsid w:val="007F459E"/>
    <w:rsid w:val="007F7240"/>
    <w:rsid w:val="00891D67"/>
    <w:rsid w:val="00892D5F"/>
    <w:rsid w:val="008B43E2"/>
    <w:rsid w:val="008D6936"/>
    <w:rsid w:val="00936738"/>
    <w:rsid w:val="0094004A"/>
    <w:rsid w:val="00974AC9"/>
    <w:rsid w:val="00987EF5"/>
    <w:rsid w:val="009A1713"/>
    <w:rsid w:val="009A173A"/>
    <w:rsid w:val="009B52F9"/>
    <w:rsid w:val="009E0D0D"/>
    <w:rsid w:val="00A24F6C"/>
    <w:rsid w:val="00A50203"/>
    <w:rsid w:val="00A52ADA"/>
    <w:rsid w:val="00A66622"/>
    <w:rsid w:val="00A811F2"/>
    <w:rsid w:val="00A90D47"/>
    <w:rsid w:val="00A96160"/>
    <w:rsid w:val="00AC0EA9"/>
    <w:rsid w:val="00AE582E"/>
    <w:rsid w:val="00AE7B54"/>
    <w:rsid w:val="00B331C9"/>
    <w:rsid w:val="00B40FAF"/>
    <w:rsid w:val="00BC0893"/>
    <w:rsid w:val="00BC7E05"/>
    <w:rsid w:val="00BD179D"/>
    <w:rsid w:val="00C22F47"/>
    <w:rsid w:val="00C341C0"/>
    <w:rsid w:val="00C4092E"/>
    <w:rsid w:val="00C512B4"/>
    <w:rsid w:val="00C6600A"/>
    <w:rsid w:val="00C71B74"/>
    <w:rsid w:val="00C85B7F"/>
    <w:rsid w:val="00C8695F"/>
    <w:rsid w:val="00C9070A"/>
    <w:rsid w:val="00CA1710"/>
    <w:rsid w:val="00CB3977"/>
    <w:rsid w:val="00CC0BCF"/>
    <w:rsid w:val="00CC6329"/>
    <w:rsid w:val="00CD1C12"/>
    <w:rsid w:val="00D039CD"/>
    <w:rsid w:val="00D05FC0"/>
    <w:rsid w:val="00D0628C"/>
    <w:rsid w:val="00D111F8"/>
    <w:rsid w:val="00D66117"/>
    <w:rsid w:val="00D8015F"/>
    <w:rsid w:val="00D8107B"/>
    <w:rsid w:val="00D963C7"/>
    <w:rsid w:val="00DF5E99"/>
    <w:rsid w:val="00E04E24"/>
    <w:rsid w:val="00E46A15"/>
    <w:rsid w:val="00EE3734"/>
    <w:rsid w:val="00F011AC"/>
    <w:rsid w:val="00F23776"/>
    <w:rsid w:val="00F71107"/>
    <w:rsid w:val="00FA40E3"/>
    <w:rsid w:val="00FC6D64"/>
    <w:rsid w:val="00FD1F53"/>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Normal"/>
    <w:link w:val="Titre1Car"/>
    <w:uiPriority w:val="9"/>
    <w:qFormat/>
    <w:rsid w:val="009B52F9"/>
    <w:pPr>
      <w:widowControl w:val="0"/>
      <w:autoSpaceDE w:val="0"/>
      <w:autoSpaceDN w:val="0"/>
      <w:spacing w:after="0" w:line="240" w:lineRule="auto"/>
      <w:ind w:left="132"/>
      <w:outlineLvl w:val="0"/>
    </w:pPr>
    <w:rPr>
      <w:rFonts w:ascii="Cambria" w:eastAsia="Cambria" w:hAnsi="Cambria" w:cs="Cambria"/>
      <w:b/>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1"/>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character" w:customStyle="1" w:styleId="Titre1Car">
    <w:name w:val="Titre 1 Car"/>
    <w:basedOn w:val="Policepardfaut"/>
    <w:link w:val="Titre1"/>
    <w:uiPriority w:val="9"/>
    <w:rsid w:val="009B52F9"/>
    <w:rPr>
      <w:rFonts w:ascii="Cambria" w:eastAsia="Cambria" w:hAnsi="Cambria" w:cs="Cambria"/>
      <w:b/>
      <w:bCs/>
      <w:i/>
      <w:iCs/>
    </w:rPr>
  </w:style>
  <w:style w:type="paragraph" w:styleId="Titre">
    <w:name w:val="Title"/>
    <w:basedOn w:val="Normal"/>
    <w:link w:val="TitreCar"/>
    <w:uiPriority w:val="10"/>
    <w:qFormat/>
    <w:rsid w:val="003E3081"/>
    <w:pPr>
      <w:widowControl w:val="0"/>
      <w:autoSpaceDE w:val="0"/>
      <w:autoSpaceDN w:val="0"/>
      <w:spacing w:after="0" w:line="240" w:lineRule="auto"/>
      <w:ind w:left="135"/>
    </w:pPr>
    <w:rPr>
      <w:rFonts w:ascii="Arial" w:eastAsia="Arial" w:hAnsi="Arial" w:cs="Arial"/>
      <w:b/>
      <w:bCs/>
      <w:lang w:val="fr-FR"/>
    </w:rPr>
  </w:style>
  <w:style w:type="character" w:customStyle="1" w:styleId="TitreCar">
    <w:name w:val="Titre Car"/>
    <w:basedOn w:val="Policepardfaut"/>
    <w:link w:val="Titre"/>
    <w:uiPriority w:val="10"/>
    <w:rsid w:val="003E3081"/>
    <w:rPr>
      <w:rFonts w:ascii="Arial" w:eastAsia="Arial" w:hAnsi="Arial" w:cs="Arial"/>
      <w:b/>
      <w:bCs/>
    </w:rPr>
  </w:style>
  <w:style w:type="paragraph" w:styleId="Rvision">
    <w:name w:val="Revision"/>
    <w:hidden/>
    <w:uiPriority w:val="99"/>
    <w:semiHidden/>
    <w:rsid w:val="001563EC"/>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A7C4-975C-4771-A253-A2586315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F8FCB-C619-4900-AF55-FE2414501988}">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CEC99E59-AEF1-4451-AC41-C945739B8D70}">
  <ds:schemaRefs>
    <ds:schemaRef ds:uri="http://schemas.microsoft.com/sharepoint/v3/contenttype/forms"/>
  </ds:schemaRefs>
</ds:datastoreItem>
</file>

<file path=customXml/itemProps4.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977</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47</cp:revision>
  <dcterms:created xsi:type="dcterms:W3CDTF">2023-03-17T09:44:00Z</dcterms:created>
  <dcterms:modified xsi:type="dcterms:W3CDTF">2023-08-02T07:44:00Z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