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9A44" w14:textId="040C9D1A" w:rsidR="003D648D" w:rsidRPr="00307F84" w:rsidRDefault="005C0D9E" w:rsidP="00B20B04">
      <w:pPr>
        <w:pBdr>
          <w:top w:val="triple" w:sz="4" w:space="1" w:color="4472C4" w:themeColor="accent1"/>
          <w:left w:val="triple" w:sz="4" w:space="4" w:color="4472C4" w:themeColor="accent1"/>
          <w:bottom w:val="triple" w:sz="4" w:space="1" w:color="4472C4" w:themeColor="accent1"/>
          <w:right w:val="triple" w:sz="4" w:space="4" w:color="4472C4" w:themeColor="accent1"/>
        </w:pBdr>
        <w:spacing w:before="120"/>
        <w:jc w:val="center"/>
        <w:rPr>
          <w:sz w:val="32"/>
          <w:szCs w:val="32"/>
          <w:lang w:val="nl-NL"/>
        </w:rPr>
      </w:pPr>
      <w:r w:rsidRPr="00307F84">
        <w:rPr>
          <w:sz w:val="32"/>
          <w:szCs w:val="32"/>
          <w:lang w:val="nl-NL"/>
        </w:rPr>
        <w:t xml:space="preserve">Typologie </w:t>
      </w:r>
      <w:r w:rsidR="000E6E0A" w:rsidRPr="00307F84">
        <w:rPr>
          <w:sz w:val="32"/>
          <w:szCs w:val="32"/>
          <w:lang w:val="nl-NL"/>
        </w:rPr>
        <w:t>van de</w:t>
      </w:r>
      <w:r w:rsidRPr="00307F84">
        <w:rPr>
          <w:sz w:val="32"/>
          <w:szCs w:val="32"/>
          <w:lang w:val="nl-NL"/>
        </w:rPr>
        <w:t xml:space="preserve"> AML </w:t>
      </w:r>
      <w:r w:rsidR="000E6E0A" w:rsidRPr="00307F84">
        <w:rPr>
          <w:sz w:val="32"/>
          <w:szCs w:val="32"/>
          <w:lang w:val="nl-NL"/>
        </w:rPr>
        <w:t>risico’s</w:t>
      </w:r>
      <w:r w:rsidRPr="00307F84">
        <w:rPr>
          <w:sz w:val="32"/>
          <w:szCs w:val="32"/>
          <w:lang w:val="nl-NL"/>
        </w:rPr>
        <w:t xml:space="preserve">– </w:t>
      </w:r>
      <w:r w:rsidR="00F23776" w:rsidRPr="00307F84">
        <w:rPr>
          <w:sz w:val="32"/>
          <w:szCs w:val="32"/>
          <w:lang w:val="nl-NL"/>
        </w:rPr>
        <w:t>HORECA</w:t>
      </w:r>
      <w:r w:rsidRPr="00307F84">
        <w:rPr>
          <w:sz w:val="32"/>
          <w:szCs w:val="32"/>
          <w:lang w:val="nl-NL"/>
        </w:rPr>
        <w:t> :</w:t>
      </w:r>
    </w:p>
    <w:p w14:paraId="518483F6" w14:textId="77777777" w:rsidR="00712873" w:rsidRPr="00307F84" w:rsidRDefault="00712873" w:rsidP="00FE134C">
      <w:pPr>
        <w:ind w:left="567"/>
        <w:contextualSpacing/>
        <w:rPr>
          <w:lang w:val="nl-NL"/>
        </w:rPr>
      </w:pPr>
    </w:p>
    <w:p w14:paraId="2CD626D8" w14:textId="7BD9CF96" w:rsidR="00970573" w:rsidRPr="00970573" w:rsidRDefault="00970573" w:rsidP="00D317A9">
      <w:pPr>
        <w:spacing w:after="120"/>
        <w:ind w:left="567"/>
        <w:jc w:val="both"/>
        <w:rPr>
          <w:sz w:val="24"/>
          <w:szCs w:val="24"/>
          <w:lang w:val="nl-BE"/>
        </w:rPr>
      </w:pPr>
      <w:r w:rsidRPr="00970573">
        <w:rPr>
          <w:sz w:val="24"/>
          <w:szCs w:val="24"/>
          <w:lang w:val="nl-BE"/>
        </w:rPr>
        <w:t xml:space="preserve">De sector van de </w:t>
      </w:r>
      <w:r w:rsidR="00307F84">
        <w:rPr>
          <w:sz w:val="24"/>
          <w:szCs w:val="24"/>
          <w:lang w:val="nl-BE"/>
        </w:rPr>
        <w:t xml:space="preserve">dienstverleners in de </w:t>
      </w:r>
      <w:r w:rsidRPr="00970573">
        <w:rPr>
          <w:sz w:val="24"/>
          <w:szCs w:val="24"/>
          <w:lang w:val="nl-BE"/>
        </w:rPr>
        <w:t xml:space="preserve">horeca is een sector waarin veel contant geld </w:t>
      </w:r>
      <w:r w:rsidR="008B62D5">
        <w:rPr>
          <w:sz w:val="24"/>
          <w:szCs w:val="24"/>
          <w:lang w:val="nl-BE"/>
        </w:rPr>
        <w:t>circuleert</w:t>
      </w:r>
      <w:r w:rsidRPr="00970573">
        <w:rPr>
          <w:sz w:val="24"/>
          <w:szCs w:val="24"/>
          <w:lang w:val="nl-BE"/>
        </w:rPr>
        <w:t xml:space="preserve">, hetgeen </w:t>
      </w:r>
      <w:r w:rsidR="00DA3D36">
        <w:rPr>
          <w:sz w:val="24"/>
          <w:szCs w:val="24"/>
          <w:lang w:val="nl-BE"/>
        </w:rPr>
        <w:t xml:space="preserve">ervan </w:t>
      </w:r>
      <w:r w:rsidRPr="00970573">
        <w:rPr>
          <w:sz w:val="24"/>
          <w:szCs w:val="24"/>
          <w:lang w:val="nl-BE"/>
        </w:rPr>
        <w:t xml:space="preserve">een bijzonder </w:t>
      </w:r>
      <w:r w:rsidR="008B62D5">
        <w:rPr>
          <w:sz w:val="24"/>
          <w:szCs w:val="24"/>
          <w:lang w:val="nl-BE"/>
        </w:rPr>
        <w:t>risicovolle</w:t>
      </w:r>
      <w:r w:rsidRPr="00970573">
        <w:rPr>
          <w:sz w:val="24"/>
          <w:szCs w:val="24"/>
          <w:lang w:val="nl-BE"/>
        </w:rPr>
        <w:t xml:space="preserve"> sector maakt op het vlak van witwassen, net zoals op het vlak van fiscale fraude en sociale fraude overigens.</w:t>
      </w:r>
    </w:p>
    <w:p w14:paraId="1ADE3B49" w14:textId="5C04F5DD" w:rsidR="00CB3977" w:rsidRPr="001E518C" w:rsidRDefault="00970573" w:rsidP="00D317A9">
      <w:pPr>
        <w:pStyle w:val="Paragraphedeliste"/>
        <w:numPr>
          <w:ilvl w:val="0"/>
          <w:numId w:val="1"/>
        </w:numPr>
        <w:spacing w:before="240" w:after="240"/>
        <w:ind w:left="714" w:hanging="357"/>
        <w:contextualSpacing w:val="0"/>
        <w:jc w:val="both"/>
        <w:rPr>
          <w:color w:val="4472C4" w:themeColor="accent1"/>
          <w:sz w:val="28"/>
          <w:szCs w:val="28"/>
          <w:u w:val="single" w:color="4472C4" w:themeColor="accent1"/>
        </w:rPr>
      </w:pPr>
      <w:proofErr w:type="spellStart"/>
      <w:r w:rsidRPr="001E518C">
        <w:rPr>
          <w:color w:val="4472C4" w:themeColor="accent1"/>
          <w:sz w:val="28"/>
          <w:szCs w:val="28"/>
          <w:u w:val="single" w:color="4472C4" w:themeColor="accent1"/>
        </w:rPr>
        <w:t>Beginsel</w:t>
      </w:r>
      <w:proofErr w:type="spellEnd"/>
    </w:p>
    <w:p w14:paraId="5533F305" w14:textId="0B00C534" w:rsidR="00AD35F1" w:rsidRDefault="00AD35F1" w:rsidP="00D317A9">
      <w:pPr>
        <w:spacing w:before="120" w:after="120"/>
        <w:ind w:left="567"/>
        <w:jc w:val="both"/>
        <w:rPr>
          <w:sz w:val="24"/>
          <w:szCs w:val="24"/>
          <w:lang w:val="nl-BE"/>
        </w:rPr>
      </w:pPr>
      <w:r w:rsidRPr="00AD35F1">
        <w:rPr>
          <w:sz w:val="24"/>
          <w:szCs w:val="24"/>
          <w:lang w:val="nl-BE"/>
        </w:rPr>
        <w:t>De sector kan een doelsector zijn voor criminelen die, door horecaza</w:t>
      </w:r>
      <w:r w:rsidR="008871D7">
        <w:rPr>
          <w:sz w:val="24"/>
          <w:szCs w:val="24"/>
          <w:lang w:val="nl-BE"/>
        </w:rPr>
        <w:t>ken</w:t>
      </w:r>
      <w:r w:rsidRPr="00AD35F1">
        <w:rPr>
          <w:sz w:val="24"/>
          <w:szCs w:val="24"/>
          <w:lang w:val="nl-BE"/>
        </w:rPr>
        <w:t xml:space="preserve"> te kopen, een manier vinden om er contant geld uit hun criminele activiteiten </w:t>
      </w:r>
      <w:r w:rsidR="00F124FD">
        <w:rPr>
          <w:sz w:val="24"/>
          <w:szCs w:val="24"/>
          <w:lang w:val="nl-BE"/>
        </w:rPr>
        <w:t xml:space="preserve">mee </w:t>
      </w:r>
      <w:r w:rsidRPr="00AD35F1">
        <w:rPr>
          <w:sz w:val="24"/>
          <w:szCs w:val="24"/>
          <w:lang w:val="nl-BE"/>
        </w:rPr>
        <w:t xml:space="preserve">wit te wassen. </w:t>
      </w:r>
      <w:r w:rsidR="00A06EF0" w:rsidRPr="00A06EF0">
        <w:rPr>
          <w:sz w:val="24"/>
          <w:szCs w:val="24"/>
          <w:lang w:val="nl-BE"/>
        </w:rPr>
        <w:t>De aankoop van meerdere handelszaken of de injectie van kapitaal in verscheidene restaurants of frituren laten toe grote hoeveelheden liquide middelen op te nemen met behoud van geloofwaardige inkomstenniveaus voor de sector.</w:t>
      </w:r>
      <w:r w:rsidR="00CC6341" w:rsidRPr="00CC6341">
        <w:rPr>
          <w:lang w:val="nl-BE"/>
        </w:rPr>
        <w:t xml:space="preserve"> </w:t>
      </w:r>
      <w:r w:rsidR="00CC6341" w:rsidRPr="00CC6341">
        <w:rPr>
          <w:sz w:val="24"/>
          <w:szCs w:val="24"/>
          <w:lang w:val="nl-BE"/>
        </w:rPr>
        <w:t xml:space="preserve">Eenmaal verworven door de criminelen, </w:t>
      </w:r>
      <w:r w:rsidR="00F9502A">
        <w:rPr>
          <w:sz w:val="24"/>
          <w:szCs w:val="24"/>
          <w:lang w:val="nl-BE"/>
        </w:rPr>
        <w:t>kan m</w:t>
      </w:r>
      <w:r w:rsidR="00CC6341" w:rsidRPr="00CC6341">
        <w:rPr>
          <w:sz w:val="24"/>
          <w:szCs w:val="24"/>
          <w:lang w:val="nl-BE"/>
        </w:rPr>
        <w:t>isdaadgeld, onder de vorm van contant geld, gemengd worden met de dagelijkse inkomsten van de horecazaak (omzet</w:t>
      </w:r>
      <w:r w:rsidR="00C54639">
        <w:rPr>
          <w:sz w:val="24"/>
          <w:szCs w:val="24"/>
          <w:lang w:val="nl-BE"/>
        </w:rPr>
        <w:t>inflatie</w:t>
      </w:r>
      <w:r w:rsidR="00CC6341" w:rsidRPr="00CC6341">
        <w:rPr>
          <w:sz w:val="24"/>
          <w:szCs w:val="24"/>
          <w:lang w:val="nl-BE"/>
        </w:rPr>
        <w:t>).</w:t>
      </w:r>
      <w:r w:rsidR="00590CFC">
        <w:rPr>
          <w:sz w:val="24"/>
          <w:szCs w:val="24"/>
          <w:lang w:val="nl-BE"/>
        </w:rPr>
        <w:t xml:space="preserve"> </w:t>
      </w:r>
      <w:r w:rsidR="00590CFC" w:rsidRPr="00590CFC">
        <w:rPr>
          <w:sz w:val="24"/>
          <w:szCs w:val="24"/>
          <w:lang w:val="nl-BE"/>
        </w:rPr>
        <w:t>Horeca</w:t>
      </w:r>
      <w:r w:rsidR="00D37F0D">
        <w:rPr>
          <w:sz w:val="24"/>
          <w:szCs w:val="24"/>
          <w:lang w:val="nl-BE"/>
        </w:rPr>
        <w:t>za</w:t>
      </w:r>
      <w:r w:rsidR="00AD72E6">
        <w:rPr>
          <w:sz w:val="24"/>
          <w:szCs w:val="24"/>
          <w:lang w:val="nl-BE"/>
        </w:rPr>
        <w:t>ken</w:t>
      </w:r>
      <w:r w:rsidR="00060EC5">
        <w:rPr>
          <w:sz w:val="24"/>
          <w:szCs w:val="24"/>
          <w:lang w:val="nl-BE"/>
        </w:rPr>
        <w:t xml:space="preserve"> </w:t>
      </w:r>
      <w:r w:rsidR="00060EC5" w:rsidRPr="00060EC5">
        <w:rPr>
          <w:sz w:val="24"/>
          <w:szCs w:val="24"/>
          <w:lang w:val="nl-BE"/>
        </w:rPr>
        <w:t xml:space="preserve">gecreëerd voor witwasdoeleinden </w:t>
      </w:r>
      <w:r w:rsidR="00590CFC" w:rsidRPr="00590CFC">
        <w:rPr>
          <w:sz w:val="24"/>
          <w:szCs w:val="24"/>
          <w:lang w:val="nl-BE"/>
        </w:rPr>
        <w:t xml:space="preserve">worden vaak snel </w:t>
      </w:r>
      <w:r w:rsidR="00781D31">
        <w:rPr>
          <w:sz w:val="24"/>
          <w:szCs w:val="24"/>
          <w:lang w:val="nl-BE"/>
        </w:rPr>
        <w:t>vereffend</w:t>
      </w:r>
      <w:r w:rsidR="00590CFC" w:rsidRPr="00590CFC">
        <w:rPr>
          <w:sz w:val="24"/>
          <w:szCs w:val="24"/>
          <w:lang w:val="nl-BE"/>
        </w:rPr>
        <w:t>.</w:t>
      </w:r>
    </w:p>
    <w:p w14:paraId="1C444D8B" w14:textId="714B3A3C" w:rsidR="000B03AF" w:rsidRPr="001E518C" w:rsidRDefault="00D05641" w:rsidP="00DD54CE">
      <w:pPr>
        <w:pStyle w:val="Paragraphedeliste"/>
        <w:numPr>
          <w:ilvl w:val="0"/>
          <w:numId w:val="1"/>
        </w:numPr>
        <w:spacing w:before="240" w:after="240"/>
        <w:ind w:left="714" w:hanging="357"/>
        <w:contextualSpacing w:val="0"/>
        <w:jc w:val="both"/>
        <w:rPr>
          <w:color w:val="4472C4" w:themeColor="accent1"/>
          <w:sz w:val="16"/>
          <w:szCs w:val="16"/>
          <w:u w:val="single" w:color="4472C4" w:themeColor="accent1"/>
        </w:rPr>
      </w:pPr>
      <w:proofErr w:type="spellStart"/>
      <w:r w:rsidRPr="001E518C">
        <w:rPr>
          <w:color w:val="4472C4" w:themeColor="accent1"/>
          <w:sz w:val="28"/>
          <w:szCs w:val="28"/>
          <w:u w:val="single" w:color="4472C4" w:themeColor="accent1"/>
        </w:rPr>
        <w:t>Afzwakking</w:t>
      </w:r>
      <w:proofErr w:type="spellEnd"/>
      <w:r w:rsidRPr="001E518C">
        <w:rPr>
          <w:color w:val="4472C4" w:themeColor="accent1"/>
          <w:sz w:val="28"/>
          <w:szCs w:val="28"/>
          <w:u w:val="single" w:color="4472C4" w:themeColor="accent1"/>
        </w:rPr>
        <w:t xml:space="preserve"> van de </w:t>
      </w:r>
      <w:proofErr w:type="spellStart"/>
      <w:r w:rsidRPr="001E518C">
        <w:rPr>
          <w:color w:val="4472C4" w:themeColor="accent1"/>
          <w:sz w:val="28"/>
          <w:szCs w:val="28"/>
          <w:u w:val="single" w:color="4472C4" w:themeColor="accent1"/>
        </w:rPr>
        <w:t>dreiging</w:t>
      </w:r>
      <w:proofErr w:type="spellEnd"/>
    </w:p>
    <w:p w14:paraId="1D76F199" w14:textId="77777777" w:rsidR="00DD54CE" w:rsidRDefault="00AC3C52" w:rsidP="00DD54CE">
      <w:pPr>
        <w:pStyle w:val="Paragraphedeliste"/>
        <w:numPr>
          <w:ilvl w:val="0"/>
          <w:numId w:val="20"/>
        </w:numPr>
        <w:autoSpaceDE w:val="0"/>
        <w:autoSpaceDN w:val="0"/>
        <w:adjustRightInd w:val="0"/>
        <w:spacing w:before="120" w:after="120" w:line="240" w:lineRule="auto"/>
        <w:ind w:left="1066" w:hanging="357"/>
        <w:contextualSpacing w:val="0"/>
        <w:jc w:val="both"/>
        <w:rPr>
          <w:sz w:val="24"/>
          <w:szCs w:val="24"/>
          <w:lang w:val="nl-BE"/>
        </w:rPr>
      </w:pPr>
      <w:r w:rsidRPr="00AC3C52">
        <w:rPr>
          <w:sz w:val="24"/>
          <w:szCs w:val="24"/>
          <w:lang w:val="nl-BE"/>
        </w:rPr>
        <w:t>Gelet op de activiteiten van horecazaken, is de dreiging gerelateerd aan de internationale stromen laag;</w:t>
      </w:r>
    </w:p>
    <w:p w14:paraId="69A5866F" w14:textId="0669A1F5" w:rsidR="00AC3C52" w:rsidRPr="00DD54CE" w:rsidRDefault="00AC3C52" w:rsidP="00DD54CE">
      <w:pPr>
        <w:pStyle w:val="Paragraphedeliste"/>
        <w:numPr>
          <w:ilvl w:val="0"/>
          <w:numId w:val="20"/>
        </w:numPr>
        <w:autoSpaceDE w:val="0"/>
        <w:autoSpaceDN w:val="0"/>
        <w:adjustRightInd w:val="0"/>
        <w:spacing w:before="120" w:after="120" w:line="240" w:lineRule="auto"/>
        <w:ind w:left="1066" w:hanging="357"/>
        <w:contextualSpacing w:val="0"/>
        <w:jc w:val="both"/>
        <w:rPr>
          <w:sz w:val="24"/>
          <w:szCs w:val="24"/>
          <w:lang w:val="nl-BE"/>
        </w:rPr>
      </w:pPr>
      <w:r w:rsidRPr="00DD54CE">
        <w:rPr>
          <w:sz w:val="24"/>
          <w:szCs w:val="24"/>
          <w:lang w:val="nl-BE"/>
        </w:rPr>
        <w:t>De dreiging gerelateerd aan de aanwezigheid van risicogebieden is quasi onbestaand.</w:t>
      </w:r>
    </w:p>
    <w:p w14:paraId="18A4A997" w14:textId="621D7E7B" w:rsidR="00DD5C81" w:rsidRPr="00DD5C81" w:rsidRDefault="00DD5C81" w:rsidP="00DD54CE">
      <w:pPr>
        <w:spacing w:before="120" w:after="120"/>
        <w:ind w:left="567"/>
        <w:jc w:val="both"/>
        <w:rPr>
          <w:rFonts w:eastAsia="Times New Roman" w:cs="Times New Roman"/>
          <w:sz w:val="24"/>
          <w:szCs w:val="24"/>
          <w:lang w:val="nl-BE"/>
        </w:rPr>
      </w:pPr>
      <w:r w:rsidRPr="00DD5C81">
        <w:rPr>
          <w:sz w:val="24"/>
          <w:szCs w:val="24"/>
          <w:lang w:val="nl-BE"/>
        </w:rPr>
        <w:t>Er moet echter aandacht worden besteed aan de volgende situaties:</w:t>
      </w:r>
    </w:p>
    <w:p w14:paraId="6C94F3E2" w14:textId="3E839781" w:rsidR="00712873" w:rsidRPr="001E518C" w:rsidRDefault="00936738" w:rsidP="006D6F22">
      <w:pPr>
        <w:pStyle w:val="Paragraphedeliste"/>
        <w:numPr>
          <w:ilvl w:val="0"/>
          <w:numId w:val="1"/>
        </w:numPr>
        <w:spacing w:before="240" w:after="240"/>
        <w:ind w:left="714" w:hanging="357"/>
        <w:contextualSpacing w:val="0"/>
        <w:jc w:val="both"/>
        <w:rPr>
          <w:color w:val="4472C4" w:themeColor="accent1"/>
          <w:sz w:val="16"/>
          <w:szCs w:val="16"/>
          <w:u w:val="single" w:color="4472C4" w:themeColor="accent1"/>
        </w:rPr>
      </w:pPr>
      <w:proofErr w:type="spellStart"/>
      <w:r w:rsidRPr="001E518C">
        <w:rPr>
          <w:color w:val="4472C4" w:themeColor="accent1"/>
          <w:sz w:val="28"/>
          <w:szCs w:val="28"/>
          <w:u w:val="single" w:color="4472C4" w:themeColor="accent1"/>
        </w:rPr>
        <w:t>Governance</w:t>
      </w:r>
      <w:proofErr w:type="spellEnd"/>
      <w:r w:rsidRPr="001E518C">
        <w:rPr>
          <w:color w:val="4472C4" w:themeColor="accent1"/>
          <w:sz w:val="28"/>
          <w:szCs w:val="28"/>
          <w:u w:val="single" w:color="4472C4" w:themeColor="accent1"/>
        </w:rPr>
        <w:t> :</w:t>
      </w:r>
      <w:r w:rsidR="00C512B4" w:rsidRPr="001E518C">
        <w:rPr>
          <w:color w:val="4472C4" w:themeColor="accent1"/>
          <w:sz w:val="28"/>
          <w:szCs w:val="28"/>
          <w:u w:val="single" w:color="4472C4" w:themeColor="accent1"/>
        </w:rPr>
        <w:t xml:space="preserve"> </w:t>
      </w:r>
      <w:proofErr w:type="spellStart"/>
      <w:r w:rsidR="00C956CB" w:rsidRPr="001E518C">
        <w:rPr>
          <w:color w:val="4472C4" w:themeColor="accent1"/>
          <w:sz w:val="28"/>
          <w:szCs w:val="28"/>
          <w:u w:val="single" w:color="4472C4" w:themeColor="accent1"/>
        </w:rPr>
        <w:t>rechtsvorm</w:t>
      </w:r>
      <w:proofErr w:type="spellEnd"/>
      <w:r w:rsidR="000D7969" w:rsidRPr="001E518C">
        <w:rPr>
          <w:color w:val="4472C4" w:themeColor="accent1"/>
          <w:sz w:val="28"/>
          <w:szCs w:val="28"/>
          <w:u w:val="single" w:color="4472C4" w:themeColor="accent1"/>
        </w:rPr>
        <w:t xml:space="preserve"> e</w:t>
      </w:r>
      <w:r w:rsidR="00F774F0" w:rsidRPr="001E518C">
        <w:rPr>
          <w:color w:val="4472C4" w:themeColor="accent1"/>
          <w:sz w:val="28"/>
          <w:szCs w:val="28"/>
          <w:u w:val="single" w:color="4472C4" w:themeColor="accent1"/>
        </w:rPr>
        <w:t>n</w:t>
      </w:r>
      <w:r w:rsidR="000D7969" w:rsidRPr="001E518C">
        <w:rPr>
          <w:color w:val="4472C4" w:themeColor="accent1"/>
          <w:sz w:val="28"/>
          <w:szCs w:val="28"/>
          <w:u w:val="single" w:color="4472C4" w:themeColor="accent1"/>
        </w:rPr>
        <w:t xml:space="preserve"> </w:t>
      </w:r>
      <w:proofErr w:type="spellStart"/>
      <w:r w:rsidR="00F774F0" w:rsidRPr="001E518C">
        <w:rPr>
          <w:color w:val="4472C4" w:themeColor="accent1"/>
          <w:sz w:val="28"/>
          <w:szCs w:val="28"/>
          <w:u w:val="single" w:color="4472C4" w:themeColor="accent1"/>
        </w:rPr>
        <w:t>aandeelhouderschap</w:t>
      </w:r>
      <w:proofErr w:type="spellEnd"/>
    </w:p>
    <w:p w14:paraId="01AE3C42" w14:textId="77777777" w:rsidR="00DD54CE" w:rsidRDefault="002C774F" w:rsidP="00DD54CE">
      <w:pPr>
        <w:pStyle w:val="Paragraphedeliste"/>
        <w:numPr>
          <w:ilvl w:val="0"/>
          <w:numId w:val="2"/>
        </w:numPr>
        <w:spacing w:before="120" w:after="120"/>
        <w:ind w:left="1066" w:hanging="357"/>
        <w:contextualSpacing w:val="0"/>
        <w:jc w:val="both"/>
        <w:rPr>
          <w:sz w:val="24"/>
          <w:szCs w:val="24"/>
          <w:lang w:val="nl-BE"/>
        </w:rPr>
      </w:pPr>
      <w:r w:rsidRPr="005E6933">
        <w:rPr>
          <w:sz w:val="24"/>
          <w:szCs w:val="24"/>
          <w:lang w:val="nl-BE"/>
        </w:rPr>
        <w:t>Vennootschap</w:t>
      </w:r>
      <w:r w:rsidR="00F16AFA" w:rsidRPr="005E6933">
        <w:rPr>
          <w:sz w:val="24"/>
          <w:szCs w:val="24"/>
          <w:lang w:val="nl-BE"/>
        </w:rPr>
        <w:t xml:space="preserve"> die</w:t>
      </w:r>
      <w:r w:rsidR="00257E3C" w:rsidRPr="005E6933">
        <w:rPr>
          <w:sz w:val="24"/>
          <w:szCs w:val="24"/>
          <w:lang w:val="nl-BE"/>
        </w:rPr>
        <w:t xml:space="preserve"> anonimiteit</w:t>
      </w:r>
      <w:r w:rsidR="00F16AFA" w:rsidRPr="005E6933">
        <w:rPr>
          <w:sz w:val="24"/>
          <w:szCs w:val="24"/>
          <w:lang w:val="nl-BE"/>
        </w:rPr>
        <w:t xml:space="preserve"> bevordert </w:t>
      </w:r>
      <w:r w:rsidR="000B03AF" w:rsidRPr="005E6933">
        <w:rPr>
          <w:sz w:val="24"/>
          <w:szCs w:val="24"/>
          <w:lang w:val="nl-BE"/>
        </w:rPr>
        <w:t xml:space="preserve"> : </w:t>
      </w:r>
      <w:r w:rsidR="005E6933" w:rsidRPr="005E6933">
        <w:rPr>
          <w:sz w:val="24"/>
          <w:szCs w:val="24"/>
          <w:lang w:val="nl-BE"/>
        </w:rPr>
        <w:t xml:space="preserve">Er moet worden benadrukt dat het gebruik van de vennootschapsvorm commanditaire vennootschap </w:t>
      </w:r>
      <w:r w:rsidR="00553381">
        <w:rPr>
          <w:sz w:val="24"/>
          <w:szCs w:val="24"/>
          <w:lang w:val="nl-BE"/>
        </w:rPr>
        <w:t xml:space="preserve">zowel </w:t>
      </w:r>
      <w:r w:rsidR="005E6933" w:rsidRPr="005E6933">
        <w:rPr>
          <w:sz w:val="24"/>
          <w:szCs w:val="24"/>
          <w:lang w:val="nl-BE"/>
        </w:rPr>
        <w:t xml:space="preserve">een beperking van de verantwoordelijkheden </w:t>
      </w:r>
      <w:r w:rsidR="00D733AD">
        <w:rPr>
          <w:sz w:val="24"/>
          <w:szCs w:val="24"/>
          <w:lang w:val="nl-BE"/>
        </w:rPr>
        <w:t xml:space="preserve">als het verbergen </w:t>
      </w:r>
      <w:r w:rsidR="005E6933" w:rsidRPr="005E6933">
        <w:rPr>
          <w:sz w:val="24"/>
          <w:szCs w:val="24"/>
          <w:lang w:val="nl-BE"/>
        </w:rPr>
        <w:t xml:space="preserve">van de werkelijke begunstigden </w:t>
      </w:r>
      <w:r w:rsidR="00334130" w:rsidRPr="005E6933">
        <w:rPr>
          <w:sz w:val="24"/>
          <w:szCs w:val="24"/>
          <w:lang w:val="nl-BE"/>
        </w:rPr>
        <w:t xml:space="preserve">bevordert </w:t>
      </w:r>
      <w:r w:rsidR="005E6933" w:rsidRPr="005E6933">
        <w:rPr>
          <w:sz w:val="24"/>
          <w:szCs w:val="24"/>
          <w:lang w:val="nl-BE"/>
        </w:rPr>
        <w:t xml:space="preserve">door </w:t>
      </w:r>
      <w:r w:rsidR="00527203">
        <w:rPr>
          <w:sz w:val="24"/>
          <w:szCs w:val="24"/>
          <w:lang w:val="nl-BE"/>
        </w:rPr>
        <w:t xml:space="preserve">de </w:t>
      </w:r>
      <w:r w:rsidR="005E6933" w:rsidRPr="005E6933">
        <w:rPr>
          <w:sz w:val="24"/>
          <w:szCs w:val="24"/>
          <w:lang w:val="nl-BE"/>
        </w:rPr>
        <w:t xml:space="preserve">aanduiding van bijvoorbeeld </w:t>
      </w:r>
      <w:proofErr w:type="spellStart"/>
      <w:r w:rsidR="005E6933" w:rsidRPr="00D12B04">
        <w:rPr>
          <w:i/>
          <w:iCs/>
          <w:sz w:val="24"/>
          <w:szCs w:val="24"/>
          <w:lang w:val="nl-BE"/>
        </w:rPr>
        <w:t>Ltd’s</w:t>
      </w:r>
      <w:proofErr w:type="spellEnd"/>
      <w:r w:rsidR="005E6933" w:rsidRPr="00D12B04">
        <w:rPr>
          <w:i/>
          <w:iCs/>
          <w:sz w:val="24"/>
          <w:szCs w:val="24"/>
          <w:lang w:val="nl-BE"/>
        </w:rPr>
        <w:t xml:space="preserve"> </w:t>
      </w:r>
      <w:r w:rsidR="005E6933" w:rsidRPr="005E6933">
        <w:rPr>
          <w:sz w:val="24"/>
          <w:szCs w:val="24"/>
          <w:lang w:val="nl-BE"/>
        </w:rPr>
        <w:t>in het Verenigd Koninkrijk in de wettelijke vertegenwoordiging van horecavennootschappen, gevestigd in België.</w:t>
      </w:r>
    </w:p>
    <w:p w14:paraId="3A1F16CC" w14:textId="78C66E2E" w:rsidR="00AE7B54" w:rsidRPr="00DD54CE" w:rsidRDefault="00364767" w:rsidP="006D6F22">
      <w:pPr>
        <w:pStyle w:val="Paragraphedeliste"/>
        <w:numPr>
          <w:ilvl w:val="0"/>
          <w:numId w:val="2"/>
        </w:numPr>
        <w:spacing w:before="120" w:after="120"/>
        <w:ind w:left="1151" w:hanging="357"/>
        <w:contextualSpacing w:val="0"/>
        <w:jc w:val="both"/>
        <w:rPr>
          <w:sz w:val="24"/>
          <w:szCs w:val="24"/>
          <w:lang w:val="nl-BE"/>
        </w:rPr>
      </w:pPr>
      <w:r w:rsidRPr="00DD54CE">
        <w:rPr>
          <w:sz w:val="24"/>
          <w:szCs w:val="24"/>
          <w:lang w:val="nl-BE"/>
        </w:rPr>
        <w:t>Vennootschappen met buitenlands</w:t>
      </w:r>
      <w:r w:rsidR="00963788" w:rsidRPr="00DD54CE">
        <w:rPr>
          <w:sz w:val="24"/>
          <w:szCs w:val="24"/>
          <w:lang w:val="nl-BE"/>
        </w:rPr>
        <w:t>e</w:t>
      </w:r>
      <w:r w:rsidRPr="00DD54CE">
        <w:rPr>
          <w:sz w:val="24"/>
          <w:szCs w:val="24"/>
          <w:lang w:val="nl-BE"/>
        </w:rPr>
        <w:t xml:space="preserve"> aan</w:t>
      </w:r>
      <w:r w:rsidR="00963788" w:rsidRPr="00DD54CE">
        <w:rPr>
          <w:sz w:val="24"/>
          <w:szCs w:val="24"/>
          <w:lang w:val="nl-BE"/>
        </w:rPr>
        <w:t>d</w:t>
      </w:r>
      <w:r w:rsidRPr="00DD54CE">
        <w:rPr>
          <w:sz w:val="24"/>
          <w:szCs w:val="24"/>
          <w:lang w:val="nl-BE"/>
        </w:rPr>
        <w:t>eelhouders</w:t>
      </w:r>
      <w:r w:rsidR="000D7969" w:rsidRPr="00DD54CE">
        <w:rPr>
          <w:sz w:val="24"/>
          <w:szCs w:val="24"/>
          <w:lang w:val="nl-BE"/>
        </w:rPr>
        <w:t xml:space="preserve"> : </w:t>
      </w:r>
      <w:r w:rsidR="00E00940" w:rsidRPr="00DD54CE">
        <w:rPr>
          <w:sz w:val="24"/>
          <w:szCs w:val="24"/>
          <w:lang w:val="nl-BE"/>
        </w:rPr>
        <w:t xml:space="preserve">er werd vastgesteld dat horecazaken (bars, pizzeria’s, broodjeszaken, </w:t>
      </w:r>
      <w:proofErr w:type="spellStart"/>
      <w:r w:rsidR="00E00940" w:rsidRPr="00DD54CE">
        <w:rPr>
          <w:sz w:val="24"/>
          <w:szCs w:val="24"/>
          <w:lang w:val="nl-BE"/>
        </w:rPr>
        <w:t>B&amp;B’s</w:t>
      </w:r>
      <w:proofErr w:type="spellEnd"/>
      <w:r w:rsidR="00E00940" w:rsidRPr="00DD54CE">
        <w:rPr>
          <w:sz w:val="24"/>
          <w:szCs w:val="24"/>
          <w:lang w:val="nl-BE"/>
        </w:rPr>
        <w:t xml:space="preserve">, waterpijpbars of frituren) in 2014 door </w:t>
      </w:r>
      <w:r w:rsidR="00A467CA" w:rsidRPr="00DD54CE">
        <w:rPr>
          <w:sz w:val="24"/>
          <w:szCs w:val="24"/>
          <w:lang w:val="nl-BE"/>
        </w:rPr>
        <w:t xml:space="preserve">talrijke </w:t>
      </w:r>
      <w:proofErr w:type="spellStart"/>
      <w:r w:rsidR="00E00940" w:rsidRPr="00DD54CE">
        <w:rPr>
          <w:sz w:val="24"/>
          <w:szCs w:val="24"/>
          <w:lang w:val="nl-BE"/>
        </w:rPr>
        <w:t>Chine</w:t>
      </w:r>
      <w:r w:rsidR="00A467CA" w:rsidRPr="00DD54CE">
        <w:rPr>
          <w:sz w:val="24"/>
          <w:szCs w:val="24"/>
          <w:lang w:val="nl-BE"/>
        </w:rPr>
        <w:t>sen</w:t>
      </w:r>
      <w:proofErr w:type="spellEnd"/>
      <w:r w:rsidR="00E00940" w:rsidRPr="00DD54CE">
        <w:rPr>
          <w:sz w:val="24"/>
          <w:szCs w:val="24"/>
          <w:lang w:val="nl-BE"/>
        </w:rPr>
        <w:t xml:space="preserve"> werd</w:t>
      </w:r>
      <w:r w:rsidR="00051B9A" w:rsidRPr="00DD54CE">
        <w:rPr>
          <w:sz w:val="24"/>
          <w:szCs w:val="24"/>
          <w:lang w:val="nl-BE"/>
        </w:rPr>
        <w:t>en</w:t>
      </w:r>
      <w:r w:rsidR="00E00940" w:rsidRPr="00DD54CE">
        <w:rPr>
          <w:sz w:val="24"/>
          <w:szCs w:val="24"/>
          <w:lang w:val="nl-BE"/>
        </w:rPr>
        <w:t xml:space="preserve"> overgenomen. Die zaken worden </w:t>
      </w:r>
      <w:r w:rsidR="00051B9A" w:rsidRPr="00DD54CE">
        <w:rPr>
          <w:sz w:val="24"/>
          <w:szCs w:val="24"/>
          <w:lang w:val="nl-BE"/>
        </w:rPr>
        <w:t>beh</w:t>
      </w:r>
      <w:r w:rsidR="00E00940" w:rsidRPr="00DD54CE">
        <w:rPr>
          <w:sz w:val="24"/>
          <w:szCs w:val="24"/>
          <w:lang w:val="nl-BE"/>
        </w:rPr>
        <w:t xml:space="preserve">eerd met het oog op het witwassen van inkomsten </w:t>
      </w:r>
      <w:r w:rsidR="00051B9A" w:rsidRPr="00DD54CE">
        <w:rPr>
          <w:sz w:val="24"/>
          <w:szCs w:val="24"/>
          <w:lang w:val="nl-BE"/>
        </w:rPr>
        <w:t xml:space="preserve">van </w:t>
      </w:r>
      <w:r w:rsidR="00E00940" w:rsidRPr="00DD54CE">
        <w:rPr>
          <w:sz w:val="24"/>
          <w:szCs w:val="24"/>
          <w:lang w:val="nl-BE"/>
        </w:rPr>
        <w:t>criminele oorsprong.</w:t>
      </w:r>
    </w:p>
    <w:p w14:paraId="652AADDA" w14:textId="39A740B0" w:rsidR="00C512B4" w:rsidRPr="001E518C" w:rsidRDefault="006E6FCB" w:rsidP="00D511B0">
      <w:pPr>
        <w:pStyle w:val="Paragraphedeliste"/>
        <w:numPr>
          <w:ilvl w:val="0"/>
          <w:numId w:val="1"/>
        </w:numPr>
        <w:spacing w:before="240" w:after="240"/>
        <w:ind w:left="714" w:hanging="357"/>
        <w:contextualSpacing w:val="0"/>
        <w:jc w:val="both"/>
        <w:rPr>
          <w:color w:val="4472C4" w:themeColor="accent1"/>
          <w:sz w:val="28"/>
          <w:szCs w:val="28"/>
          <w:u w:val="single" w:color="4472C4" w:themeColor="accent1"/>
        </w:rPr>
      </w:pPr>
      <w:proofErr w:type="spellStart"/>
      <w:r w:rsidRPr="001E518C">
        <w:rPr>
          <w:color w:val="4472C4" w:themeColor="accent1"/>
          <w:sz w:val="28"/>
          <w:szCs w:val="28"/>
          <w:u w:val="single" w:color="4472C4" w:themeColor="accent1"/>
        </w:rPr>
        <w:t>Verdachte</w:t>
      </w:r>
      <w:proofErr w:type="spellEnd"/>
      <w:r w:rsidRPr="001E518C">
        <w:rPr>
          <w:color w:val="4472C4" w:themeColor="accent1"/>
          <w:sz w:val="28"/>
          <w:szCs w:val="28"/>
          <w:u w:val="single" w:color="4472C4" w:themeColor="accent1"/>
        </w:rPr>
        <w:t xml:space="preserve"> </w:t>
      </w:r>
      <w:proofErr w:type="spellStart"/>
      <w:r w:rsidRPr="001E518C">
        <w:rPr>
          <w:color w:val="4472C4" w:themeColor="accent1"/>
          <w:sz w:val="28"/>
          <w:szCs w:val="28"/>
          <w:u w:val="single" w:color="4472C4" w:themeColor="accent1"/>
        </w:rPr>
        <w:t>transacties</w:t>
      </w:r>
      <w:proofErr w:type="spellEnd"/>
      <w:r w:rsidR="00C512B4" w:rsidRPr="001E518C">
        <w:rPr>
          <w:color w:val="4472C4" w:themeColor="accent1"/>
          <w:sz w:val="28"/>
          <w:szCs w:val="28"/>
          <w:u w:val="single" w:color="4472C4" w:themeColor="accent1"/>
        </w:rPr>
        <w:t> :</w:t>
      </w:r>
    </w:p>
    <w:p w14:paraId="47D0C298" w14:textId="77777777" w:rsidR="00144810" w:rsidRPr="000E6E0A" w:rsidRDefault="00144810" w:rsidP="00D511B0">
      <w:pPr>
        <w:pStyle w:val="Paragraphedeliste"/>
        <w:numPr>
          <w:ilvl w:val="0"/>
          <w:numId w:val="2"/>
        </w:numPr>
        <w:spacing w:before="120" w:after="120"/>
        <w:ind w:left="1434" w:hanging="357"/>
        <w:contextualSpacing w:val="0"/>
        <w:jc w:val="both"/>
        <w:rPr>
          <w:sz w:val="24"/>
          <w:szCs w:val="24"/>
          <w:lang w:val="nl-NL"/>
        </w:rPr>
      </w:pPr>
      <w:r w:rsidRPr="000E6E0A">
        <w:rPr>
          <w:sz w:val="24"/>
          <w:szCs w:val="24"/>
          <w:lang w:val="nl-NL"/>
        </w:rPr>
        <w:t>De plotselinge toename van de omzet</w:t>
      </w:r>
    </w:p>
    <w:p w14:paraId="209C2E9B" w14:textId="46E87651" w:rsidR="002D05F2" w:rsidRPr="00C11B19" w:rsidRDefault="00453081" w:rsidP="00D511B0">
      <w:pPr>
        <w:pStyle w:val="Paragraphedeliste"/>
        <w:numPr>
          <w:ilvl w:val="0"/>
          <w:numId w:val="2"/>
        </w:numPr>
        <w:spacing w:before="120" w:after="120"/>
        <w:ind w:left="1434" w:hanging="357"/>
        <w:contextualSpacing w:val="0"/>
        <w:jc w:val="both"/>
        <w:rPr>
          <w:sz w:val="24"/>
          <w:szCs w:val="24"/>
          <w:lang w:val="nl-BE"/>
        </w:rPr>
      </w:pPr>
      <w:r w:rsidRPr="00C11B19">
        <w:rPr>
          <w:sz w:val="24"/>
          <w:szCs w:val="24"/>
          <w:lang w:val="nl-BE"/>
        </w:rPr>
        <w:t>Een exuberante levensstijl</w:t>
      </w:r>
      <w:r w:rsidR="000D7969" w:rsidRPr="00C11B19">
        <w:rPr>
          <w:sz w:val="24"/>
          <w:szCs w:val="24"/>
          <w:lang w:val="nl-BE"/>
        </w:rPr>
        <w:t xml:space="preserve">: </w:t>
      </w:r>
      <w:r w:rsidRPr="00C11B19">
        <w:rPr>
          <w:sz w:val="24"/>
          <w:szCs w:val="24"/>
          <w:lang w:val="nl-BE"/>
        </w:rPr>
        <w:t>aankoop luxevoertuigen</w:t>
      </w:r>
      <w:r w:rsidR="000D7969" w:rsidRPr="00C11B19">
        <w:rPr>
          <w:sz w:val="24"/>
          <w:szCs w:val="24"/>
          <w:lang w:val="nl-BE"/>
        </w:rPr>
        <w:t>, …</w:t>
      </w:r>
    </w:p>
    <w:p w14:paraId="4996837B" w14:textId="68F0E156" w:rsidR="002D05F2" w:rsidRDefault="00C11B19" w:rsidP="00D511B0">
      <w:pPr>
        <w:pStyle w:val="Paragraphedeliste"/>
        <w:numPr>
          <w:ilvl w:val="0"/>
          <w:numId w:val="2"/>
        </w:numPr>
        <w:spacing w:before="120" w:after="120"/>
        <w:ind w:left="1434" w:hanging="357"/>
        <w:contextualSpacing w:val="0"/>
        <w:jc w:val="both"/>
        <w:rPr>
          <w:sz w:val="24"/>
          <w:szCs w:val="24"/>
        </w:rPr>
      </w:pPr>
      <w:r>
        <w:rPr>
          <w:sz w:val="24"/>
          <w:szCs w:val="24"/>
        </w:rPr>
        <w:t>Sociale fraude</w:t>
      </w:r>
      <w:r w:rsidR="000D7969">
        <w:rPr>
          <w:sz w:val="24"/>
          <w:szCs w:val="24"/>
        </w:rPr>
        <w:t xml:space="preserve"> : </w:t>
      </w:r>
      <w:proofErr w:type="spellStart"/>
      <w:r w:rsidR="0028659B">
        <w:rPr>
          <w:sz w:val="24"/>
          <w:szCs w:val="24"/>
        </w:rPr>
        <w:t>illegale</w:t>
      </w:r>
      <w:proofErr w:type="spellEnd"/>
      <w:r w:rsidR="0028659B">
        <w:rPr>
          <w:sz w:val="24"/>
          <w:szCs w:val="24"/>
        </w:rPr>
        <w:t xml:space="preserve"> </w:t>
      </w:r>
      <w:proofErr w:type="spellStart"/>
      <w:r w:rsidR="0028659B">
        <w:rPr>
          <w:sz w:val="24"/>
          <w:szCs w:val="24"/>
        </w:rPr>
        <w:t>werknemers</w:t>
      </w:r>
      <w:proofErr w:type="spellEnd"/>
      <w:r w:rsidR="00AE7B54" w:rsidRPr="00712873">
        <w:rPr>
          <w:sz w:val="24"/>
          <w:szCs w:val="24"/>
        </w:rPr>
        <w:t xml:space="preserve"> </w:t>
      </w:r>
    </w:p>
    <w:p w14:paraId="23D7BCBA" w14:textId="080E62F2" w:rsidR="000D7969" w:rsidRDefault="007C26B0" w:rsidP="00D511B0">
      <w:pPr>
        <w:pStyle w:val="Paragraphedeliste"/>
        <w:numPr>
          <w:ilvl w:val="0"/>
          <w:numId w:val="2"/>
        </w:numPr>
        <w:spacing w:before="120" w:after="120"/>
        <w:ind w:left="1434" w:hanging="357"/>
        <w:contextualSpacing w:val="0"/>
        <w:jc w:val="both"/>
        <w:rPr>
          <w:sz w:val="24"/>
          <w:szCs w:val="24"/>
        </w:rPr>
      </w:pPr>
      <w:r>
        <w:rPr>
          <w:sz w:val="24"/>
          <w:szCs w:val="24"/>
        </w:rPr>
        <w:t xml:space="preserve">Valse </w:t>
      </w:r>
      <w:proofErr w:type="spellStart"/>
      <w:r>
        <w:rPr>
          <w:sz w:val="24"/>
          <w:szCs w:val="24"/>
        </w:rPr>
        <w:t>facturen</w:t>
      </w:r>
      <w:proofErr w:type="spellEnd"/>
    </w:p>
    <w:p w14:paraId="46EF919D" w14:textId="3EA17B41" w:rsidR="000D7969" w:rsidRPr="00D8737A" w:rsidRDefault="00D8737A" w:rsidP="00D511B0">
      <w:pPr>
        <w:pStyle w:val="Paragraphedeliste"/>
        <w:numPr>
          <w:ilvl w:val="0"/>
          <w:numId w:val="2"/>
        </w:numPr>
        <w:spacing w:before="120" w:after="120"/>
        <w:ind w:left="1434" w:hanging="357"/>
        <w:contextualSpacing w:val="0"/>
        <w:jc w:val="both"/>
        <w:rPr>
          <w:sz w:val="24"/>
          <w:szCs w:val="24"/>
          <w:lang w:val="nl-BE"/>
        </w:rPr>
      </w:pPr>
      <w:r w:rsidRPr="00D8737A">
        <w:rPr>
          <w:sz w:val="24"/>
          <w:szCs w:val="24"/>
          <w:lang w:val="nl-BE"/>
        </w:rPr>
        <w:t>Vereffening van de vennootschap n</w:t>
      </w:r>
      <w:r>
        <w:rPr>
          <w:sz w:val="24"/>
          <w:szCs w:val="24"/>
          <w:lang w:val="nl-BE"/>
        </w:rPr>
        <w:t>a een korte periode</w:t>
      </w:r>
    </w:p>
    <w:p w14:paraId="633515CB" w14:textId="0B854942" w:rsidR="000D7969" w:rsidRPr="00D8737A" w:rsidRDefault="000D7969" w:rsidP="00C4092E">
      <w:pPr>
        <w:rPr>
          <w:sz w:val="24"/>
          <w:szCs w:val="24"/>
          <w:lang w:val="nl-BE"/>
        </w:rPr>
      </w:pPr>
    </w:p>
    <w:p w14:paraId="1B5EBA87" w14:textId="77777777" w:rsidR="00B20B04" w:rsidRDefault="00B20B04">
      <w:pPr>
        <w:rPr>
          <w:rFonts w:ascii="Times New Roman" w:hAnsi="Times New Roman" w:cs="Times New Roman"/>
          <w:b/>
          <w:bCs/>
          <w:color w:val="000000"/>
          <w:sz w:val="32"/>
          <w:szCs w:val="32"/>
          <w:lang w:val="nl-BE"/>
        </w:rPr>
      </w:pPr>
      <w:r>
        <w:rPr>
          <w:b/>
          <w:bCs/>
          <w:sz w:val="32"/>
          <w:szCs w:val="32"/>
          <w:lang w:val="nl-BE"/>
        </w:rPr>
        <w:br w:type="page"/>
      </w:r>
    </w:p>
    <w:p w14:paraId="785BDCD9" w14:textId="7FB344AE" w:rsidR="00722FE8" w:rsidRPr="005C6C40" w:rsidRDefault="00C4092E" w:rsidP="00C4092E">
      <w:pPr>
        <w:pStyle w:val="Default"/>
        <w:jc w:val="center"/>
        <w:rPr>
          <w:b/>
          <w:bCs/>
          <w:sz w:val="32"/>
          <w:szCs w:val="32"/>
          <w:lang w:val="nl-BE"/>
        </w:rPr>
      </w:pPr>
      <w:r w:rsidRPr="005C6C40">
        <w:rPr>
          <w:b/>
          <w:bCs/>
          <w:sz w:val="32"/>
          <w:szCs w:val="32"/>
          <w:lang w:val="nl-BE"/>
        </w:rPr>
        <w:lastRenderedPageBreak/>
        <w:t>Extra</w:t>
      </w:r>
      <w:r w:rsidR="00417FAB" w:rsidRPr="005C6C40">
        <w:rPr>
          <w:b/>
          <w:bCs/>
          <w:sz w:val="32"/>
          <w:szCs w:val="32"/>
          <w:lang w:val="nl-BE"/>
        </w:rPr>
        <w:t xml:space="preserve">ct </w:t>
      </w:r>
      <w:r w:rsidR="007353CD" w:rsidRPr="005C6C40">
        <w:rPr>
          <w:b/>
          <w:bCs/>
          <w:sz w:val="32"/>
          <w:szCs w:val="32"/>
          <w:lang w:val="nl-BE"/>
        </w:rPr>
        <w:t>–</w:t>
      </w:r>
      <w:r w:rsidRPr="005C6C40">
        <w:rPr>
          <w:b/>
          <w:bCs/>
          <w:sz w:val="32"/>
          <w:szCs w:val="32"/>
          <w:lang w:val="nl-BE"/>
        </w:rPr>
        <w:t xml:space="preserve"> </w:t>
      </w:r>
      <w:r w:rsidR="007353CD" w:rsidRPr="005C6C40">
        <w:rPr>
          <w:b/>
          <w:bCs/>
          <w:sz w:val="32"/>
          <w:szCs w:val="32"/>
          <w:lang w:val="nl-BE"/>
        </w:rPr>
        <w:t>Activiteitenverslag van de CFI</w:t>
      </w:r>
      <w:r w:rsidR="00747766">
        <w:rPr>
          <w:b/>
          <w:bCs/>
          <w:sz w:val="32"/>
          <w:szCs w:val="32"/>
          <w:lang w:val="nl-BE"/>
        </w:rPr>
        <w:t xml:space="preserve"> </w:t>
      </w:r>
      <w:r w:rsidR="000D7969" w:rsidRPr="005C6C40">
        <w:rPr>
          <w:b/>
          <w:bCs/>
          <w:sz w:val="32"/>
          <w:szCs w:val="32"/>
          <w:lang w:val="nl-BE"/>
        </w:rPr>
        <w:t>- 2016 :</w:t>
      </w:r>
    </w:p>
    <w:p w14:paraId="2F4B0269" w14:textId="361868EF" w:rsidR="000D7969" w:rsidRPr="005C6C40" w:rsidRDefault="000D7969" w:rsidP="00712873">
      <w:pPr>
        <w:pStyle w:val="Paragraphedeliste"/>
        <w:ind w:left="1151"/>
        <w:rPr>
          <w:sz w:val="24"/>
          <w:szCs w:val="24"/>
          <w:lang w:val="nl-BE"/>
        </w:rPr>
      </w:pPr>
    </w:p>
    <w:p w14:paraId="6471545F" w14:textId="77777777" w:rsidR="005C6C40" w:rsidRPr="005C6C40" w:rsidRDefault="005C6C40" w:rsidP="0073207E">
      <w:pPr>
        <w:pStyle w:val="Corpsdetexte"/>
        <w:spacing w:before="8"/>
        <w:ind w:left="567" w:right="567"/>
        <w:jc w:val="both"/>
        <w:rPr>
          <w:b/>
          <w:bCs/>
          <w:color w:val="0F0F0F"/>
          <w:w w:val="105"/>
          <w:lang w:val="nl-BE"/>
        </w:rPr>
      </w:pPr>
      <w:r w:rsidRPr="005C6C40">
        <w:rPr>
          <w:b/>
          <w:bCs/>
          <w:color w:val="0F0F0F"/>
          <w:w w:val="105"/>
          <w:lang w:val="nl-BE"/>
        </w:rPr>
        <w:t>2.4. Horecasector</w:t>
      </w:r>
    </w:p>
    <w:p w14:paraId="3EC488C7" w14:textId="77777777" w:rsidR="005C6C40" w:rsidRDefault="005C6C40" w:rsidP="0073207E">
      <w:pPr>
        <w:pStyle w:val="Corpsdetexte"/>
        <w:spacing w:before="8"/>
        <w:ind w:left="567" w:right="567"/>
        <w:jc w:val="both"/>
        <w:rPr>
          <w:b/>
          <w:bCs/>
          <w:color w:val="0F0F0F"/>
          <w:w w:val="105"/>
          <w:lang w:val="nl-BE"/>
        </w:rPr>
      </w:pPr>
    </w:p>
    <w:p w14:paraId="04B67A57" w14:textId="2C5C9A97" w:rsidR="0073207E" w:rsidRDefault="005C6C40" w:rsidP="0073207E">
      <w:pPr>
        <w:pStyle w:val="Corpsdetexte"/>
        <w:spacing w:before="8"/>
        <w:ind w:left="567" w:right="567"/>
        <w:jc w:val="both"/>
        <w:rPr>
          <w:color w:val="0F0F0F"/>
          <w:w w:val="105"/>
          <w:lang w:val="nl-BE"/>
        </w:rPr>
      </w:pPr>
      <w:r w:rsidRPr="00694F04">
        <w:rPr>
          <w:color w:val="0F0F0F"/>
          <w:w w:val="105"/>
          <w:lang w:val="nl-BE"/>
        </w:rPr>
        <w:t>De horecasector is op verschillende vlakken kwetsbaar voor witwassen. In deze sector worden veel contanten gebruikt en door greep te houden op de boekhouding van een horecazaak kan de regelmatige ontvangst van grote hoeveelheden contanten worden verantwoord. Geld van illegale oorsprong kan gemakkelijk worden vermengd met legale inkomsten van de zaak of worden gebruikt om niet-aangegeven werknemers te betalen. Het omzetcijfer doen toenemen</w:t>
      </w:r>
      <w:r w:rsidR="006D6F22">
        <w:rPr>
          <w:color w:val="0F0F0F"/>
          <w:w w:val="105"/>
          <w:lang w:val="nl-BE"/>
        </w:rPr>
        <w:t xml:space="preserve"> </w:t>
      </w:r>
      <w:r w:rsidRPr="00694F04">
        <w:rPr>
          <w:color w:val="0F0F0F"/>
          <w:w w:val="105"/>
          <w:lang w:val="nl-BE"/>
        </w:rPr>
        <w:t xml:space="preserve">om wit te wassen geld in te brengen is een wijdverbreide praktijk. </w:t>
      </w:r>
      <w:r w:rsidRPr="0073207E">
        <w:rPr>
          <w:color w:val="0F0F0F"/>
          <w:w w:val="105"/>
          <w:lang w:val="nl-BE"/>
        </w:rPr>
        <w:t>Door het grote omzetcijfer wordt dit eenvoudiger</w:t>
      </w:r>
      <w:r w:rsidR="00694F04" w:rsidRPr="0073207E">
        <w:rPr>
          <w:color w:val="0F0F0F"/>
          <w:w w:val="105"/>
          <w:lang w:val="nl-BE"/>
        </w:rPr>
        <w:t>.</w:t>
      </w:r>
      <w:r w:rsidR="0073207E" w:rsidRPr="0073207E">
        <w:rPr>
          <w:color w:val="0F0F0F"/>
          <w:w w:val="105"/>
          <w:lang w:val="nl-BE"/>
        </w:rPr>
        <w:t xml:space="preserve"> Men maakt ook gebruik van stromannen, waardoor betrokkenen die willen frauderen anoniem kunnen blijven, en van valse documenten: valse facturen, valse btw-briefjes, valse C4’s.</w:t>
      </w:r>
    </w:p>
    <w:p w14:paraId="140A9B0A" w14:textId="77777777" w:rsidR="0073207E" w:rsidRPr="0073207E" w:rsidRDefault="0073207E" w:rsidP="0073207E">
      <w:pPr>
        <w:pStyle w:val="Corpsdetexte"/>
        <w:spacing w:before="8"/>
        <w:ind w:left="567" w:right="567"/>
        <w:jc w:val="both"/>
        <w:rPr>
          <w:color w:val="0F0F0F"/>
          <w:w w:val="105"/>
          <w:lang w:val="nl-BE"/>
        </w:rPr>
      </w:pPr>
    </w:p>
    <w:p w14:paraId="64EC1D37" w14:textId="5DD9B373" w:rsidR="0073207E" w:rsidRPr="0073207E" w:rsidRDefault="0073207E" w:rsidP="0073207E">
      <w:pPr>
        <w:pStyle w:val="Corpsdetexte"/>
        <w:spacing w:before="8"/>
        <w:ind w:left="567" w:right="567"/>
        <w:jc w:val="both"/>
        <w:rPr>
          <w:color w:val="0F0F0F"/>
          <w:w w:val="105"/>
          <w:lang w:val="nl-BE"/>
        </w:rPr>
      </w:pPr>
      <w:r w:rsidRPr="0073207E">
        <w:rPr>
          <w:color w:val="0F0F0F"/>
          <w:w w:val="105"/>
          <w:lang w:val="nl-BE"/>
        </w:rPr>
        <w:t>Een sector als de horecasector, waarbij ondernemingen een korte levensduur hebben, zijn kwetsbaarder op het vlak van fraude en witwassen. In de sector komen “vergankelijke” vennootschappen voor en worden constructies opgezet om facturen voor valse dienstverlening te kunnen opmaken, zo kan contant geld uit de boekhouding vloeien. Bij dergelijke fraude- en witwasconstructies komen volgende verschijnselen vaak voor: de vennootschap wordt failliet verklaard, ontbonden, opgegeven of de ene juridische constructie wordt op korte tijd door een andere vervangen (meestal wanneer er belasting- of btw-controles worden opgestart). Er worden ook vaak nieuwe zaakvoerders aangesteld.</w:t>
      </w:r>
    </w:p>
    <w:p w14:paraId="34FCFDDF" w14:textId="77777777" w:rsidR="0073207E" w:rsidRDefault="0073207E" w:rsidP="0073207E">
      <w:pPr>
        <w:pStyle w:val="Corpsdetexte"/>
        <w:spacing w:before="8"/>
        <w:ind w:left="567" w:right="567"/>
        <w:jc w:val="both"/>
        <w:rPr>
          <w:color w:val="0F0F0F"/>
          <w:w w:val="105"/>
          <w:lang w:val="nl-BE"/>
        </w:rPr>
      </w:pPr>
    </w:p>
    <w:p w14:paraId="4AD1C0FE" w14:textId="2BE3132B" w:rsidR="0073207E" w:rsidRDefault="0073207E" w:rsidP="0073207E">
      <w:pPr>
        <w:pStyle w:val="Corpsdetexte"/>
        <w:spacing w:before="8"/>
        <w:ind w:left="567" w:right="567"/>
        <w:jc w:val="both"/>
        <w:rPr>
          <w:color w:val="0F0F0F"/>
          <w:w w:val="105"/>
          <w:lang w:val="nl-BE"/>
        </w:rPr>
      </w:pPr>
      <w:r w:rsidRPr="0073207E">
        <w:rPr>
          <w:color w:val="0F0F0F"/>
          <w:w w:val="105"/>
          <w:lang w:val="nl-BE"/>
        </w:rPr>
        <w:t xml:space="preserve">Gelet op de grootte van de markt, heeft het grote aantal spelers een invloed op het </w:t>
      </w:r>
      <w:r w:rsidR="00F712AF" w:rsidRPr="0073207E">
        <w:rPr>
          <w:color w:val="0F0F0F"/>
          <w:w w:val="105"/>
          <w:lang w:val="nl-BE"/>
        </w:rPr>
        <w:t>vermogen van</w:t>
      </w:r>
      <w:r w:rsidRPr="0073207E">
        <w:rPr>
          <w:color w:val="0F0F0F"/>
          <w:w w:val="105"/>
          <w:lang w:val="nl-BE"/>
        </w:rPr>
        <w:t xml:space="preserve"> de controleautoriteiten om correct toe te zien op de sector.</w:t>
      </w:r>
    </w:p>
    <w:p w14:paraId="63CA7712" w14:textId="77777777" w:rsidR="0073207E" w:rsidRDefault="0073207E" w:rsidP="0073207E">
      <w:pPr>
        <w:pStyle w:val="Corpsdetexte"/>
        <w:spacing w:before="8"/>
        <w:ind w:left="567" w:right="567"/>
        <w:jc w:val="both"/>
        <w:rPr>
          <w:color w:val="0F0F0F"/>
          <w:w w:val="105"/>
          <w:lang w:val="nl-BE"/>
        </w:rPr>
      </w:pPr>
    </w:p>
    <w:p w14:paraId="1A195DB9" w14:textId="366DDD0F" w:rsidR="000D7969" w:rsidRPr="0073207E" w:rsidRDefault="0073207E" w:rsidP="0073207E">
      <w:pPr>
        <w:pStyle w:val="Corpsdetexte"/>
        <w:spacing w:before="8"/>
        <w:ind w:left="567" w:right="567"/>
        <w:jc w:val="both"/>
        <w:rPr>
          <w:color w:val="0F0F0F"/>
          <w:w w:val="105"/>
          <w:lang w:val="nl-BE"/>
        </w:rPr>
      </w:pPr>
      <w:r w:rsidRPr="0073207E">
        <w:rPr>
          <w:color w:val="0F0F0F"/>
          <w:w w:val="105"/>
          <w:lang w:val="nl-BE"/>
        </w:rPr>
        <w:t>De ervaring van de CFI bevestigt de kwetsbaarheden van de sector, deze sector wordt gebruikt om illegale activiteiten te verhullen zoals drughandel, exploitatie van prostitutie of mensenhandel.</w:t>
      </w:r>
    </w:p>
    <w:p w14:paraId="6E1DEC97" w14:textId="77777777" w:rsidR="00694F04" w:rsidRPr="0073207E" w:rsidRDefault="00694F04" w:rsidP="005C6C40">
      <w:pPr>
        <w:pStyle w:val="Corpsdetexte"/>
        <w:spacing w:before="8"/>
        <w:ind w:left="567" w:right="567"/>
        <w:rPr>
          <w:lang w:val="nl-BE"/>
        </w:rPr>
      </w:pPr>
    </w:p>
    <w:p w14:paraId="617E6194" w14:textId="77777777" w:rsidR="000D7969" w:rsidRPr="000E6E0A" w:rsidRDefault="000D7969" w:rsidP="00712873">
      <w:pPr>
        <w:pStyle w:val="Paragraphedeliste"/>
        <w:ind w:left="1151"/>
        <w:rPr>
          <w:sz w:val="24"/>
          <w:szCs w:val="24"/>
          <w:lang w:val="nl-NL"/>
        </w:rPr>
      </w:pPr>
    </w:p>
    <w:sectPr w:rsidR="000D7969" w:rsidRPr="000E6E0A" w:rsidSect="0094004A">
      <w:footerReference w:type="default" r:id="rId11"/>
      <w:pgSz w:w="12191"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DE9C" w14:textId="77777777" w:rsidR="007B1229" w:rsidRDefault="007B1229" w:rsidP="005C0D9E">
      <w:pPr>
        <w:spacing w:after="0" w:line="240" w:lineRule="auto"/>
      </w:pPr>
      <w:r>
        <w:separator/>
      </w:r>
    </w:p>
  </w:endnote>
  <w:endnote w:type="continuationSeparator" w:id="0">
    <w:p w14:paraId="3F9C3195" w14:textId="77777777" w:rsidR="007B1229" w:rsidRDefault="007B1229" w:rsidP="005C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863B" w14:textId="77777777" w:rsidR="000D7969" w:rsidRDefault="001E518C">
    <w:pPr>
      <w:pStyle w:val="Corpsdetexte"/>
      <w:spacing w:line="14" w:lineRule="auto"/>
      <w:rPr>
        <w:sz w:val="20"/>
      </w:rPr>
    </w:pPr>
    <w:r>
      <w:pict w14:anchorId="52F7F795">
        <v:shapetype id="_x0000_t202" coordsize="21600,21600" o:spt="202" path="m,l,21600r21600,l21600,xe">
          <v:stroke joinstyle="miter"/>
          <v:path gradientshapeok="t" o:connecttype="rect"/>
        </v:shapetype>
        <v:shape id="docshape1" o:spid="_x0000_s1025" type="#_x0000_t202" style="position:absolute;margin-left:514.65pt;margin-top:735.45pt;width:17.3pt;height:12.55pt;z-index:-251658752;mso-position-horizontal-relative:page;mso-position-vertical-relative:page" filled="f" stroked="f">
          <v:textbox inset="0,0,0,0">
            <w:txbxContent>
              <w:p w14:paraId="0DE1FA5B" w14:textId="77777777" w:rsidR="000D7969" w:rsidRDefault="000D7969">
                <w:pPr>
                  <w:spacing w:before="12"/>
                  <w:ind w:left="60"/>
                  <w:rPr>
                    <w:sz w:val="19"/>
                  </w:rPr>
                </w:pPr>
                <w:r>
                  <w:rPr>
                    <w:color w:val="0F0F0F"/>
                    <w:spacing w:val="-5"/>
                    <w:w w:val="110"/>
                    <w:sz w:val="19"/>
                  </w:rPr>
                  <w:fldChar w:fldCharType="begin"/>
                </w:r>
                <w:r>
                  <w:rPr>
                    <w:color w:val="0F0F0F"/>
                    <w:spacing w:val="-5"/>
                    <w:w w:val="110"/>
                    <w:sz w:val="19"/>
                  </w:rPr>
                  <w:instrText xml:space="preserve"> PAGE </w:instrText>
                </w:r>
                <w:r>
                  <w:rPr>
                    <w:color w:val="0F0F0F"/>
                    <w:spacing w:val="-5"/>
                    <w:w w:val="110"/>
                    <w:sz w:val="19"/>
                  </w:rPr>
                  <w:fldChar w:fldCharType="separate"/>
                </w:r>
                <w:r>
                  <w:rPr>
                    <w:color w:val="0F0F0F"/>
                    <w:spacing w:val="-5"/>
                    <w:w w:val="110"/>
                    <w:sz w:val="19"/>
                  </w:rPr>
                  <w:t>35</w:t>
                </w:r>
                <w:r>
                  <w:rPr>
                    <w:color w:val="0F0F0F"/>
                    <w:spacing w:val="-5"/>
                    <w:w w:val="110"/>
                    <w:sz w:val="19"/>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9C0F" w14:textId="77777777" w:rsidR="007B1229" w:rsidRDefault="007B1229" w:rsidP="005C0D9E">
      <w:pPr>
        <w:spacing w:after="0" w:line="240" w:lineRule="auto"/>
      </w:pPr>
      <w:r>
        <w:separator/>
      </w:r>
    </w:p>
  </w:footnote>
  <w:footnote w:type="continuationSeparator" w:id="0">
    <w:p w14:paraId="1A25C774" w14:textId="77777777" w:rsidR="007B1229" w:rsidRDefault="007B1229" w:rsidP="005C0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334"/>
    <w:multiLevelType w:val="hybridMultilevel"/>
    <w:tmpl w:val="0BF8AB4E"/>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5C019D"/>
    <w:multiLevelType w:val="hybridMultilevel"/>
    <w:tmpl w:val="2116C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EC7AA7"/>
    <w:multiLevelType w:val="hybridMultilevel"/>
    <w:tmpl w:val="252EABBC"/>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E4796F"/>
    <w:multiLevelType w:val="hybridMultilevel"/>
    <w:tmpl w:val="E6863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BA7888"/>
    <w:multiLevelType w:val="hybridMultilevel"/>
    <w:tmpl w:val="B414F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64A3B"/>
    <w:multiLevelType w:val="hybridMultilevel"/>
    <w:tmpl w:val="EB442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305EA5"/>
    <w:multiLevelType w:val="hybridMultilevel"/>
    <w:tmpl w:val="6AA81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3F2578"/>
    <w:multiLevelType w:val="hybridMultilevel"/>
    <w:tmpl w:val="5900E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CE3F4F"/>
    <w:multiLevelType w:val="hybridMultilevel"/>
    <w:tmpl w:val="F4FE6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EA0F31"/>
    <w:multiLevelType w:val="hybridMultilevel"/>
    <w:tmpl w:val="FFC604E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483373B"/>
    <w:multiLevelType w:val="hybridMultilevel"/>
    <w:tmpl w:val="354E5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F8506E"/>
    <w:multiLevelType w:val="hybridMultilevel"/>
    <w:tmpl w:val="9AA2B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5D0C92"/>
    <w:multiLevelType w:val="hybridMultilevel"/>
    <w:tmpl w:val="6B3C44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4CC0D78"/>
    <w:multiLevelType w:val="hybridMultilevel"/>
    <w:tmpl w:val="C8FAD8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5E416E"/>
    <w:multiLevelType w:val="hybridMultilevel"/>
    <w:tmpl w:val="43A6AC38"/>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7EB1DCD"/>
    <w:multiLevelType w:val="hybridMultilevel"/>
    <w:tmpl w:val="10804D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9E3471"/>
    <w:multiLevelType w:val="hybridMultilevel"/>
    <w:tmpl w:val="2D92A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AD7CEC"/>
    <w:multiLevelType w:val="hybridMultilevel"/>
    <w:tmpl w:val="58D08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E312F9"/>
    <w:multiLevelType w:val="hybridMultilevel"/>
    <w:tmpl w:val="9F3ADA3C"/>
    <w:lvl w:ilvl="0" w:tplc="9B2C75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BBCCF8F8">
      <w:numFmt w:val="bullet"/>
      <w:lvlText w:val=""/>
      <w:lvlJc w:val="left"/>
      <w:pPr>
        <w:ind w:left="2160" w:hanging="360"/>
      </w:pPr>
      <w:rPr>
        <w:rFonts w:ascii="Symbol" w:eastAsiaTheme="minorHAnsi" w:hAnsi="Symbol"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C53707"/>
    <w:multiLevelType w:val="hybridMultilevel"/>
    <w:tmpl w:val="A7108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901462">
    <w:abstractNumId w:val="18"/>
  </w:num>
  <w:num w:numId="2" w16cid:durableId="1495074996">
    <w:abstractNumId w:val="14"/>
  </w:num>
  <w:num w:numId="3" w16cid:durableId="381291445">
    <w:abstractNumId w:val="13"/>
  </w:num>
  <w:num w:numId="4" w16cid:durableId="1843428260">
    <w:abstractNumId w:val="4"/>
  </w:num>
  <w:num w:numId="5" w16cid:durableId="1655335937">
    <w:abstractNumId w:val="12"/>
  </w:num>
  <w:num w:numId="6" w16cid:durableId="198475671">
    <w:abstractNumId w:val="8"/>
  </w:num>
  <w:num w:numId="7" w16cid:durableId="611134263">
    <w:abstractNumId w:val="2"/>
  </w:num>
  <w:num w:numId="8" w16cid:durableId="632636094">
    <w:abstractNumId w:val="10"/>
  </w:num>
  <w:num w:numId="9" w16cid:durableId="1153907962">
    <w:abstractNumId w:val="0"/>
  </w:num>
  <w:num w:numId="10" w16cid:durableId="1269389438">
    <w:abstractNumId w:val="6"/>
  </w:num>
  <w:num w:numId="11" w16cid:durableId="1074813988">
    <w:abstractNumId w:val="3"/>
  </w:num>
  <w:num w:numId="12" w16cid:durableId="491027007">
    <w:abstractNumId w:val="5"/>
  </w:num>
  <w:num w:numId="13" w16cid:durableId="135876604">
    <w:abstractNumId w:val="11"/>
  </w:num>
  <w:num w:numId="14" w16cid:durableId="764348663">
    <w:abstractNumId w:val="7"/>
  </w:num>
  <w:num w:numId="15" w16cid:durableId="838734017">
    <w:abstractNumId w:val="1"/>
  </w:num>
  <w:num w:numId="16" w16cid:durableId="63839980">
    <w:abstractNumId w:val="17"/>
  </w:num>
  <w:num w:numId="17" w16cid:durableId="192156088">
    <w:abstractNumId w:val="16"/>
  </w:num>
  <w:num w:numId="18" w16cid:durableId="1497577348">
    <w:abstractNumId w:val="19"/>
  </w:num>
  <w:num w:numId="19" w16cid:durableId="1841654329">
    <w:abstractNumId w:val="15"/>
  </w:num>
  <w:num w:numId="20" w16cid:durableId="6940442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9E"/>
    <w:rsid w:val="000323DC"/>
    <w:rsid w:val="00051B9A"/>
    <w:rsid w:val="00060EC5"/>
    <w:rsid w:val="000B03AF"/>
    <w:rsid w:val="000D7969"/>
    <w:rsid w:val="000D7D38"/>
    <w:rsid w:val="000E6E0A"/>
    <w:rsid w:val="00103098"/>
    <w:rsid w:val="00144810"/>
    <w:rsid w:val="001E518C"/>
    <w:rsid w:val="0025474D"/>
    <w:rsid w:val="00257E3C"/>
    <w:rsid w:val="0028659B"/>
    <w:rsid w:val="002C692F"/>
    <w:rsid w:val="002C774F"/>
    <w:rsid w:val="002D05F2"/>
    <w:rsid w:val="00307F84"/>
    <w:rsid w:val="00334130"/>
    <w:rsid w:val="00364767"/>
    <w:rsid w:val="00374C0F"/>
    <w:rsid w:val="003D58D0"/>
    <w:rsid w:val="003D648D"/>
    <w:rsid w:val="00413D6F"/>
    <w:rsid w:val="00417FAB"/>
    <w:rsid w:val="00420323"/>
    <w:rsid w:val="00453081"/>
    <w:rsid w:val="004B4A10"/>
    <w:rsid w:val="004D39E7"/>
    <w:rsid w:val="004E5650"/>
    <w:rsid w:val="00527203"/>
    <w:rsid w:val="00533EC9"/>
    <w:rsid w:val="00553381"/>
    <w:rsid w:val="00553816"/>
    <w:rsid w:val="00575B90"/>
    <w:rsid w:val="00590CFC"/>
    <w:rsid w:val="005C0D9E"/>
    <w:rsid w:val="005C6C40"/>
    <w:rsid w:val="005E6933"/>
    <w:rsid w:val="0061072C"/>
    <w:rsid w:val="00694F04"/>
    <w:rsid w:val="006D6F22"/>
    <w:rsid w:val="006E5A58"/>
    <w:rsid w:val="006E6FCB"/>
    <w:rsid w:val="0070248D"/>
    <w:rsid w:val="00712873"/>
    <w:rsid w:val="00722FE8"/>
    <w:rsid w:val="0073207E"/>
    <w:rsid w:val="007353CD"/>
    <w:rsid w:val="00747766"/>
    <w:rsid w:val="00781D31"/>
    <w:rsid w:val="00796377"/>
    <w:rsid w:val="007B1229"/>
    <w:rsid w:val="007C26B0"/>
    <w:rsid w:val="008232B3"/>
    <w:rsid w:val="008871D7"/>
    <w:rsid w:val="008966EF"/>
    <w:rsid w:val="008B43E2"/>
    <w:rsid w:val="008B62D5"/>
    <w:rsid w:val="00936738"/>
    <w:rsid w:val="0094004A"/>
    <w:rsid w:val="00963788"/>
    <w:rsid w:val="00970573"/>
    <w:rsid w:val="00987CC1"/>
    <w:rsid w:val="00987EF5"/>
    <w:rsid w:val="009C5D0D"/>
    <w:rsid w:val="009D03B4"/>
    <w:rsid w:val="009E0D0D"/>
    <w:rsid w:val="00A06EF0"/>
    <w:rsid w:val="00A467CA"/>
    <w:rsid w:val="00AC3C52"/>
    <w:rsid w:val="00AD35F1"/>
    <w:rsid w:val="00AD72E6"/>
    <w:rsid w:val="00AE582E"/>
    <w:rsid w:val="00AE7B54"/>
    <w:rsid w:val="00B11C43"/>
    <w:rsid w:val="00B20B04"/>
    <w:rsid w:val="00B40FAF"/>
    <w:rsid w:val="00C11B19"/>
    <w:rsid w:val="00C341C0"/>
    <w:rsid w:val="00C4092E"/>
    <w:rsid w:val="00C512B4"/>
    <w:rsid w:val="00C54639"/>
    <w:rsid w:val="00C71B74"/>
    <w:rsid w:val="00C9070A"/>
    <w:rsid w:val="00C956CB"/>
    <w:rsid w:val="00CB3977"/>
    <w:rsid w:val="00CB4F91"/>
    <w:rsid w:val="00CC6341"/>
    <w:rsid w:val="00D05641"/>
    <w:rsid w:val="00D12B04"/>
    <w:rsid w:val="00D317A9"/>
    <w:rsid w:val="00D32E68"/>
    <w:rsid w:val="00D37F0D"/>
    <w:rsid w:val="00D511B0"/>
    <w:rsid w:val="00D53C2D"/>
    <w:rsid w:val="00D66117"/>
    <w:rsid w:val="00D733AD"/>
    <w:rsid w:val="00D8737A"/>
    <w:rsid w:val="00D963C7"/>
    <w:rsid w:val="00DA24F0"/>
    <w:rsid w:val="00DA3D36"/>
    <w:rsid w:val="00DD54CE"/>
    <w:rsid w:val="00DD5C81"/>
    <w:rsid w:val="00DF5E99"/>
    <w:rsid w:val="00E00940"/>
    <w:rsid w:val="00E46A15"/>
    <w:rsid w:val="00F124FD"/>
    <w:rsid w:val="00F16AFA"/>
    <w:rsid w:val="00F23776"/>
    <w:rsid w:val="00F712AF"/>
    <w:rsid w:val="00F774F0"/>
    <w:rsid w:val="00F9502A"/>
    <w:rsid w:val="00FE1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D608"/>
  <w15:chartTrackingRefBased/>
  <w15:docId w15:val="{5057EBCB-15D1-47A2-9EC6-D2531F5B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D9E"/>
    <w:pPr>
      <w:tabs>
        <w:tab w:val="center" w:pos="4536"/>
        <w:tab w:val="right" w:pos="9072"/>
      </w:tabs>
      <w:spacing w:after="0" w:line="240" w:lineRule="auto"/>
    </w:pPr>
  </w:style>
  <w:style w:type="character" w:customStyle="1" w:styleId="En-tteCar">
    <w:name w:val="En-tête Car"/>
    <w:basedOn w:val="Policepardfaut"/>
    <w:link w:val="En-tte"/>
    <w:uiPriority w:val="99"/>
    <w:rsid w:val="005C0D9E"/>
    <w:rPr>
      <w:lang w:val="fr-BE"/>
    </w:rPr>
  </w:style>
  <w:style w:type="paragraph" w:styleId="Pieddepage">
    <w:name w:val="footer"/>
    <w:basedOn w:val="Normal"/>
    <w:link w:val="PieddepageCar"/>
    <w:uiPriority w:val="99"/>
    <w:unhideWhenUsed/>
    <w:rsid w:val="005C0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D9E"/>
    <w:rPr>
      <w:lang w:val="fr-BE"/>
    </w:rPr>
  </w:style>
  <w:style w:type="paragraph" w:styleId="Paragraphedeliste">
    <w:name w:val="List Paragraph"/>
    <w:basedOn w:val="Normal"/>
    <w:uiPriority w:val="34"/>
    <w:qFormat/>
    <w:rsid w:val="005C0D9E"/>
    <w:pPr>
      <w:ind w:left="720"/>
      <w:contextualSpacing/>
    </w:pPr>
  </w:style>
  <w:style w:type="paragraph" w:customStyle="1" w:styleId="Default">
    <w:name w:val="Default"/>
    <w:rsid w:val="00413D6F"/>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C341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41C0"/>
    <w:rPr>
      <w:sz w:val="20"/>
      <w:szCs w:val="20"/>
      <w:lang w:val="fr-BE"/>
    </w:rPr>
  </w:style>
  <w:style w:type="character" w:styleId="Appelnotedebasdep">
    <w:name w:val="footnote reference"/>
    <w:basedOn w:val="Policepardfaut"/>
    <w:uiPriority w:val="99"/>
    <w:semiHidden/>
    <w:unhideWhenUsed/>
    <w:rsid w:val="00C341C0"/>
    <w:rPr>
      <w:vertAlign w:val="superscript"/>
    </w:rPr>
  </w:style>
  <w:style w:type="character" w:styleId="Lienhypertexte">
    <w:name w:val="Hyperlink"/>
    <w:basedOn w:val="Policepardfaut"/>
    <w:uiPriority w:val="99"/>
    <w:unhideWhenUsed/>
    <w:rsid w:val="0094004A"/>
    <w:rPr>
      <w:color w:val="0000FF"/>
      <w:u w:val="single"/>
    </w:rPr>
  </w:style>
  <w:style w:type="character" w:styleId="Mentionnonrsolue">
    <w:name w:val="Unresolved Mention"/>
    <w:basedOn w:val="Policepardfaut"/>
    <w:uiPriority w:val="99"/>
    <w:semiHidden/>
    <w:unhideWhenUsed/>
    <w:rsid w:val="00712873"/>
    <w:rPr>
      <w:color w:val="605E5C"/>
      <w:shd w:val="clear" w:color="auto" w:fill="E1DFDD"/>
    </w:rPr>
  </w:style>
  <w:style w:type="paragraph" w:styleId="Corpsdetexte">
    <w:name w:val="Body Text"/>
    <w:basedOn w:val="Normal"/>
    <w:link w:val="CorpsdetexteCar"/>
    <w:uiPriority w:val="1"/>
    <w:qFormat/>
    <w:rsid w:val="00CB3977"/>
    <w:pPr>
      <w:widowControl w:val="0"/>
      <w:autoSpaceDE w:val="0"/>
      <w:autoSpaceDN w:val="0"/>
      <w:spacing w:after="0" w:line="240" w:lineRule="auto"/>
    </w:pPr>
    <w:rPr>
      <w:rFonts w:ascii="Times New Roman" w:eastAsia="Times New Roman" w:hAnsi="Times New Roman" w:cs="Times New Roman"/>
      <w:lang w:val="fr-FR"/>
    </w:rPr>
  </w:style>
  <w:style w:type="character" w:customStyle="1" w:styleId="CorpsdetexteCar">
    <w:name w:val="Corps de texte Car"/>
    <w:basedOn w:val="Policepardfaut"/>
    <w:link w:val="Corpsdetexte"/>
    <w:uiPriority w:val="1"/>
    <w:rsid w:val="00CB3977"/>
    <w:rPr>
      <w:rFonts w:ascii="Times New Roman" w:eastAsia="Times New Roman" w:hAnsi="Times New Roman" w:cs="Times New Roman"/>
    </w:rPr>
  </w:style>
  <w:style w:type="paragraph" w:styleId="Rvision">
    <w:name w:val="Revision"/>
    <w:hidden/>
    <w:uiPriority w:val="99"/>
    <w:semiHidden/>
    <w:rsid w:val="00D53C2D"/>
    <w:pPr>
      <w:spacing w:after="0" w:line="240" w:lineRule="auto"/>
    </w:pPr>
    <w:rPr>
      <w:lang w:val="fr-BE"/>
    </w:rPr>
  </w:style>
  <w:style w:type="character" w:styleId="Marquedecommentaire">
    <w:name w:val="annotation reference"/>
    <w:basedOn w:val="Policepardfaut"/>
    <w:uiPriority w:val="99"/>
    <w:semiHidden/>
    <w:unhideWhenUsed/>
    <w:rsid w:val="00D53C2D"/>
    <w:rPr>
      <w:sz w:val="16"/>
      <w:szCs w:val="16"/>
    </w:rPr>
  </w:style>
  <w:style w:type="paragraph" w:styleId="Commentaire">
    <w:name w:val="annotation text"/>
    <w:basedOn w:val="Normal"/>
    <w:link w:val="CommentaireCar"/>
    <w:uiPriority w:val="99"/>
    <w:unhideWhenUsed/>
    <w:rsid w:val="00D53C2D"/>
    <w:pPr>
      <w:spacing w:line="240" w:lineRule="auto"/>
    </w:pPr>
    <w:rPr>
      <w:sz w:val="20"/>
      <w:szCs w:val="20"/>
    </w:rPr>
  </w:style>
  <w:style w:type="character" w:customStyle="1" w:styleId="CommentaireCar">
    <w:name w:val="Commentaire Car"/>
    <w:basedOn w:val="Policepardfaut"/>
    <w:link w:val="Commentaire"/>
    <w:uiPriority w:val="99"/>
    <w:rsid w:val="00D53C2D"/>
    <w:rPr>
      <w:sz w:val="20"/>
      <w:szCs w:val="20"/>
      <w:lang w:val="fr-BE"/>
    </w:rPr>
  </w:style>
  <w:style w:type="paragraph" w:styleId="Objetducommentaire">
    <w:name w:val="annotation subject"/>
    <w:basedOn w:val="Commentaire"/>
    <w:next w:val="Commentaire"/>
    <w:link w:val="ObjetducommentaireCar"/>
    <w:uiPriority w:val="99"/>
    <w:semiHidden/>
    <w:unhideWhenUsed/>
    <w:rsid w:val="00D53C2D"/>
    <w:rPr>
      <w:b/>
      <w:bCs/>
    </w:rPr>
  </w:style>
  <w:style w:type="character" w:customStyle="1" w:styleId="ObjetducommentaireCar">
    <w:name w:val="Objet du commentaire Car"/>
    <w:basedOn w:val="CommentaireCar"/>
    <w:link w:val="Objetducommentaire"/>
    <w:uiPriority w:val="99"/>
    <w:semiHidden/>
    <w:rsid w:val="00D53C2D"/>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Props1.xml><?xml version="1.0" encoding="utf-8"?>
<ds:datastoreItem xmlns:ds="http://schemas.openxmlformats.org/officeDocument/2006/customXml" ds:itemID="{9AA654E6-73B1-4D1C-B73B-BFDB53D269F0}"/>
</file>

<file path=customXml/itemProps2.xml><?xml version="1.0" encoding="utf-8"?>
<ds:datastoreItem xmlns:ds="http://schemas.openxmlformats.org/officeDocument/2006/customXml" ds:itemID="{F7AF19B2-EEAB-4761-9028-00FFD6D68B86}">
  <ds:schemaRefs>
    <ds:schemaRef ds:uri="http://schemas.openxmlformats.org/officeDocument/2006/bibliography"/>
  </ds:schemaRefs>
</ds:datastoreItem>
</file>

<file path=customXml/itemProps3.xml><?xml version="1.0" encoding="utf-8"?>
<ds:datastoreItem xmlns:ds="http://schemas.openxmlformats.org/officeDocument/2006/customXml" ds:itemID="{325743CD-C629-4E54-9DC6-5AC7A791EAD0}">
  <ds:schemaRefs>
    <ds:schemaRef ds:uri="http://schemas.microsoft.com/sharepoint/v3/contenttype/forms"/>
  </ds:schemaRefs>
</ds:datastoreItem>
</file>

<file path=customXml/itemProps4.xml><?xml version="1.0" encoding="utf-8"?>
<ds:datastoreItem xmlns:ds="http://schemas.openxmlformats.org/officeDocument/2006/customXml" ds:itemID="{20BED95B-9656-416E-B823-ED7297ED4C87}">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599</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bonhome</dc:creator>
  <cp:keywords/>
  <dc:description/>
  <cp:lastModifiedBy>Camille Luxen</cp:lastModifiedBy>
  <cp:revision>63</cp:revision>
  <dcterms:created xsi:type="dcterms:W3CDTF">2023-03-15T08:22:00Z</dcterms:created>
  <dcterms:modified xsi:type="dcterms:W3CDTF">2023-08-02T07:42:00Z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ediaServiceImageTags">
    <vt:lpwstr/>
  </property>
</Properties>
</file>