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83" w:type="dxa"/>
        <w:tblInd w:w="108" w:type="dxa"/>
        <w:tblLook w:val="01E0"/>
      </w:tblPr>
      <w:tblGrid>
        <w:gridCol w:w="5812"/>
        <w:gridCol w:w="2977"/>
        <w:gridCol w:w="1984"/>
        <w:gridCol w:w="2410"/>
      </w:tblGrid>
      <w:tr w:rsidR="00F24591" w:rsidRPr="00691B21" w:rsidTr="00F24591">
        <w:trPr>
          <w:trHeight w:val="353"/>
        </w:trPr>
        <w:tc>
          <w:tcPr>
            <w:tcW w:w="5812" w:type="dxa"/>
          </w:tcPr>
          <w:p w:rsidR="00F24591" w:rsidRPr="00691B21" w:rsidRDefault="00F24591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bookmarkStart w:id="0" w:name="_GoBack"/>
            <w:bookmarkEnd w:id="0"/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</w:p>
        </w:tc>
        <w:tc>
          <w:tcPr>
            <w:tcW w:w="2977" w:type="dxa"/>
          </w:tcPr>
          <w:p w:rsidR="00F24591" w:rsidRPr="00691B21" w:rsidRDefault="00F24591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:rsidR="00F24591" w:rsidRPr="00691B21" w:rsidRDefault="00882AEB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E</w:t>
            </w:r>
            <w:r w:rsidR="00F24591" w:rsidRPr="00691B21">
              <w:rPr>
                <w:rFonts w:ascii="Arial" w:hAnsi="Arial" w:cs="Arial"/>
                <w:color w:val="auto"/>
                <w:sz w:val="20"/>
                <w:lang w:val="fr-BE"/>
              </w:rPr>
              <w:t>xercice</w:t>
            </w:r>
          </w:p>
        </w:tc>
        <w:tc>
          <w:tcPr>
            <w:tcW w:w="2410" w:type="dxa"/>
          </w:tcPr>
          <w:p w:rsidR="00F24591" w:rsidRPr="00691B21" w:rsidRDefault="00F24591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F24591" w:rsidRPr="006639EC" w:rsidTr="00F24591">
        <w:tc>
          <w:tcPr>
            <w:tcW w:w="5812" w:type="dxa"/>
          </w:tcPr>
          <w:p w:rsidR="00F24591" w:rsidRPr="00691B21" w:rsidRDefault="00F24591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7371" w:type="dxa"/>
            <w:gridSpan w:val="3"/>
            <w:shd w:val="clear" w:color="auto" w:fill="BFBFBF" w:themeFill="background1" w:themeFillShade="BF"/>
          </w:tcPr>
          <w:p w:rsidR="00F24591" w:rsidRPr="00691B21" w:rsidRDefault="00F24591" w:rsidP="007B2490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C</w:t>
            </w:r>
            <w:r w:rsidR="00A44A9C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ONTR</w:t>
            </w:r>
            <w:r w:rsidR="007B2490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O</w:t>
            </w: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 xml:space="preserve">LE DES COMPTES ANNUELS </w:t>
            </w:r>
            <w:r w:rsidR="008E6600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 xml:space="preserve">A  </w:t>
            </w: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DEPOS</w:t>
            </w:r>
            <w:r w:rsidR="008E6600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ER</w:t>
            </w: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 xml:space="preserve"> A LA BNB</w:t>
            </w:r>
          </w:p>
        </w:tc>
      </w:tr>
    </w:tbl>
    <w:p w:rsidR="00127B5A" w:rsidRPr="006639EC" w:rsidRDefault="00127B5A">
      <w:pPr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13183" w:type="dxa"/>
        <w:tblInd w:w="108" w:type="dxa"/>
        <w:tblLook w:val="04A0"/>
      </w:tblPr>
      <w:tblGrid>
        <w:gridCol w:w="12049"/>
        <w:gridCol w:w="1134"/>
      </w:tblGrid>
      <w:tr w:rsidR="00F24591" w:rsidRPr="00F24591" w:rsidTr="00A44A9C">
        <w:tc>
          <w:tcPr>
            <w:tcW w:w="12049" w:type="dxa"/>
          </w:tcPr>
          <w:p w:rsidR="00F24591" w:rsidRPr="00F24591" w:rsidRDefault="00F24591" w:rsidP="00A44A9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591">
              <w:rPr>
                <w:rFonts w:ascii="Arial" w:hAnsi="Arial" w:cs="Arial"/>
                <w:b/>
                <w:sz w:val="20"/>
                <w:szCs w:val="20"/>
              </w:rPr>
              <w:t>OBJECTIF</w:t>
            </w:r>
          </w:p>
        </w:tc>
        <w:tc>
          <w:tcPr>
            <w:tcW w:w="1134" w:type="dxa"/>
          </w:tcPr>
          <w:p w:rsidR="00F24591" w:rsidRPr="00F24591" w:rsidRDefault="00F24591" w:rsidP="00A44A9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591">
              <w:rPr>
                <w:rFonts w:ascii="Arial" w:hAnsi="Arial" w:cs="Arial"/>
                <w:b/>
                <w:sz w:val="20"/>
                <w:szCs w:val="20"/>
              </w:rPr>
              <w:t>ISA</w:t>
            </w:r>
          </w:p>
        </w:tc>
      </w:tr>
      <w:tr w:rsidR="00F24591" w:rsidRPr="001024E6" w:rsidTr="00A44A9C">
        <w:tc>
          <w:tcPr>
            <w:tcW w:w="12049" w:type="dxa"/>
          </w:tcPr>
          <w:p w:rsidR="00F24591" w:rsidRPr="00F24591" w:rsidRDefault="00244EDD" w:rsidP="00A44A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="00F24591" w:rsidRPr="00F24591">
              <w:rPr>
                <w:rFonts w:ascii="Arial" w:hAnsi="Arial" w:cs="Arial"/>
                <w:sz w:val="20"/>
                <w:szCs w:val="20"/>
                <w:lang w:val="fr-BE"/>
              </w:rPr>
              <w:t>a présente check-list a pour objectif de vérifier que les comptes annuels ont été publiés conformément aux dispositions légales et r</w:t>
            </w:r>
            <w:r w:rsidR="003A38FD">
              <w:rPr>
                <w:rFonts w:ascii="Arial" w:hAnsi="Arial" w:cs="Arial"/>
                <w:sz w:val="20"/>
                <w:szCs w:val="20"/>
                <w:lang w:val="fr-BE"/>
              </w:rPr>
              <w:t>é</w:t>
            </w:r>
            <w:r w:rsidR="00F24591" w:rsidRPr="00F24591">
              <w:rPr>
                <w:rFonts w:ascii="Arial" w:hAnsi="Arial" w:cs="Arial"/>
                <w:sz w:val="20"/>
                <w:szCs w:val="20"/>
                <w:lang w:val="fr-BE"/>
              </w:rPr>
              <w:t>glementaires applicables.</w:t>
            </w:r>
          </w:p>
          <w:p w:rsidR="00F24591" w:rsidRPr="00F24591" w:rsidRDefault="00F24591" w:rsidP="00A44A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</w:tcPr>
          <w:p w:rsidR="00F24591" w:rsidRPr="00F24591" w:rsidRDefault="001024E6" w:rsidP="001024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N/A</w:t>
            </w:r>
          </w:p>
        </w:tc>
      </w:tr>
    </w:tbl>
    <w:p w:rsidR="00D82986" w:rsidRPr="00A44A9C" w:rsidRDefault="00D82986" w:rsidP="002E3AE7">
      <w:pPr>
        <w:tabs>
          <w:tab w:val="left" w:pos="7088"/>
        </w:tabs>
        <w:spacing w:after="60" w:line="240" w:lineRule="auto"/>
        <w:ind w:right="2187"/>
        <w:rPr>
          <w:rFonts w:ascii="Arial" w:hAnsi="Arial" w:cs="Arial"/>
          <w:sz w:val="20"/>
          <w:szCs w:val="20"/>
          <w:lang w:val="fr-BE"/>
        </w:rPr>
      </w:pP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5103"/>
        <w:gridCol w:w="1134"/>
        <w:gridCol w:w="1005"/>
        <w:gridCol w:w="4536"/>
      </w:tblGrid>
      <w:tr w:rsidR="005E0ED7" w:rsidRPr="00F24591" w:rsidTr="00275B60">
        <w:trPr>
          <w:trHeight w:val="255"/>
        </w:trPr>
        <w:tc>
          <w:tcPr>
            <w:tcW w:w="1433" w:type="dxa"/>
            <w:shd w:val="clear" w:color="auto" w:fill="A6A6A6"/>
            <w:noWrap/>
            <w:vAlign w:val="center"/>
            <w:hideMark/>
          </w:tcPr>
          <w:p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Réf</w:t>
            </w:r>
            <w:r w:rsidR="007B2490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modèle complet des comptes annuels</w:t>
            </w:r>
          </w:p>
        </w:tc>
        <w:tc>
          <w:tcPr>
            <w:tcW w:w="5103" w:type="dxa"/>
            <w:shd w:val="clear" w:color="auto" w:fill="A6A6A6"/>
            <w:noWrap/>
            <w:vAlign w:val="center"/>
            <w:hideMark/>
          </w:tcPr>
          <w:p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Question</w:t>
            </w:r>
          </w:p>
        </w:tc>
        <w:tc>
          <w:tcPr>
            <w:tcW w:w="1134" w:type="dxa"/>
            <w:shd w:val="clear" w:color="auto" w:fill="A6A6A6"/>
            <w:noWrap/>
            <w:vAlign w:val="center"/>
            <w:hideMark/>
          </w:tcPr>
          <w:p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Initiales</w:t>
            </w:r>
          </w:p>
        </w:tc>
        <w:tc>
          <w:tcPr>
            <w:tcW w:w="992" w:type="dxa"/>
            <w:shd w:val="clear" w:color="auto" w:fill="A6A6A6"/>
            <w:noWrap/>
            <w:vAlign w:val="center"/>
            <w:hideMark/>
          </w:tcPr>
          <w:p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Réf.doc. travail.</w:t>
            </w:r>
          </w:p>
        </w:tc>
        <w:tc>
          <w:tcPr>
            <w:tcW w:w="4536" w:type="dxa"/>
            <w:shd w:val="clear" w:color="auto" w:fill="A6A6A6"/>
            <w:noWrap/>
            <w:vAlign w:val="center"/>
            <w:hideMark/>
          </w:tcPr>
          <w:p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Commentaire</w:t>
            </w:r>
          </w:p>
        </w:tc>
      </w:tr>
      <w:tr w:rsidR="00E50D62" w:rsidRPr="002E3AE7" w:rsidTr="002E3AE7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E50D62" w:rsidRPr="002E3AE7" w:rsidRDefault="00E50D62" w:rsidP="007B249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CONTR</w:t>
            </w:r>
            <w:r w:rsidR="007B2490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</w:t>
            </w:r>
            <w:r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LES BANQUE NATIONALE DE B</w:t>
            </w:r>
            <w:r w:rsidR="005904EF"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ELGIQUE</w:t>
            </w:r>
          </w:p>
        </w:tc>
      </w:tr>
      <w:tr w:rsidR="005E0ED7" w:rsidRPr="00F24591" w:rsidTr="00275B60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94489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Demander et vérifier les contrôles BNB du logiciel des comptes annuels du client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2E3AE7" w:rsidTr="002E3AE7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E50D62" w:rsidRPr="002E3AE7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DONNEES DE BASE</w:t>
            </w:r>
          </w:p>
        </w:tc>
      </w:tr>
      <w:tr w:rsidR="005E0ED7" w:rsidRPr="00F24591" w:rsidTr="00275B60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C1.1</w:t>
            </w:r>
            <w:r w:rsidR="008D4C3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5E0ED7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au </w:t>
            </w:r>
            <w:r w:rsidRPr="007B2490">
              <w:rPr>
                <w:rFonts w:ascii="Arial" w:eastAsia="Times New Roman" w:hAnsi="Arial" w:cs="Arial"/>
                <w:i/>
                <w:sz w:val="20"/>
                <w:szCs w:val="20"/>
                <w:lang w:val="fr-BE"/>
              </w:rPr>
              <w:t>Moniteur Belge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de la date de la dernière publication relative aux statuts</w:t>
            </w:r>
            <w:r w:rsidR="002E3AE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E0ED7" w:rsidRPr="007B2490" w:rsidTr="00275B60">
        <w:trPr>
          <w:trHeight w:val="1020"/>
        </w:trPr>
        <w:tc>
          <w:tcPr>
            <w:tcW w:w="1433" w:type="dxa"/>
            <w:shd w:val="clear" w:color="auto" w:fill="auto"/>
            <w:noWrap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C1.1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5E0ED7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Concordance entre la liste complète des administrateurs, gérants et commissaires de la société avec les informations contenues dans le dossier permanent mis à jour sur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la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base des dernières publications au </w:t>
            </w:r>
            <w:r w:rsidRPr="007B2490">
              <w:rPr>
                <w:rFonts w:ascii="Arial" w:eastAsia="Times New Roman" w:hAnsi="Arial" w:cs="Arial"/>
                <w:i/>
                <w:sz w:val="20"/>
                <w:szCs w:val="20"/>
                <w:lang w:val="fr-BE"/>
              </w:rPr>
              <w:t>Moniteur Belge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E0ED7" w:rsidRPr="007B2490" w:rsidTr="00275B60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C1.1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5E0ED7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cas de renouvellement du man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dat de commissaire, en aviser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associé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responsable de la mission</w:t>
            </w:r>
            <w:r w:rsidR="002E3AE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E0ED7" w:rsidRPr="00F24591" w:rsidTr="00275B60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C1.1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F94489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du cont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enu des pages non déposées et s’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assurer du bien-fondé de leur absence</w:t>
            </w:r>
            <w:r w:rsidR="002E3AE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896CED" w:rsidRDefault="00896CED">
      <w:r>
        <w:br w:type="page"/>
      </w: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6064"/>
        <w:gridCol w:w="961"/>
        <w:gridCol w:w="1005"/>
        <w:gridCol w:w="4129"/>
      </w:tblGrid>
      <w:tr w:rsidR="00896CED" w:rsidRPr="002E3AE7" w:rsidTr="008D79F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96CED" w:rsidRPr="002E3AE7" w:rsidRDefault="00896CED" w:rsidP="00275B6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DONNEES DE BASE</w:t>
            </w:r>
          </w:p>
        </w:tc>
      </w:tr>
      <w:tr w:rsidR="000B4FB9" w:rsidRPr="00F24591" w:rsidTr="008D79F0">
        <w:trPr>
          <w:trHeight w:val="127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7B2490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</w:t>
            </w:r>
            <w:r w:rsidR="000B4FB9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1.2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de la pertinence de remplir 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ou non la page C1.2. au regard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éventuelles missions de tenue des comptes, établissement et/ou vérification et/ou redressement des comptes annuels confiés à un expert-comptable ou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un réviseur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qui n’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est pas le commissaire de la société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7B2490" w:rsidTr="008D79F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BILAN ET COMPTE DE RESULTATS</w:t>
            </w: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C2.1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C4</w:t>
            </w:r>
            <w:r w:rsidR="00896CE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 colonne contrôlée par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N-1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C2.1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C4</w:t>
            </w:r>
            <w:r w:rsidR="00896CE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et la balance générale finale auditée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FRAIS D'ETABLISSEMENT ET IMMOBILISATIONS</w:t>
            </w: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C5.4.3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 colonne contrôlée par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-1.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C5.4.3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montants avec le tableau de mutation des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immobilisés réalisés pendant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 des immobilisations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C5.4.3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entre la valeu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 nette comptable au terme de l’exercice et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 (page C2.1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INFORMATIONS RELATIVES AUX PARTICIPATIONS</w:t>
            </w: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C5.5.1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Contrôle exhausti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f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des sociétés mentionnées en réconciliant ave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 les rubriques 280 et 282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7B249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br w:type="page"/>
            </w:r>
            <w:r w:rsidR="00E50D62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</w:t>
            </w:r>
            <w:r w:rsidR="00147BFF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SPONSABILITE</w:t>
            </w:r>
            <w:r w:rsidR="00E50D62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ILLIMITEE</w:t>
            </w:r>
          </w:p>
        </w:tc>
      </w:tr>
      <w:tr w:rsidR="000B4FB9" w:rsidRPr="00F24591" w:rsidTr="007B249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0B4FB9" w:rsidRPr="00F24591" w:rsidRDefault="008D79F0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C5.5.2.</w:t>
            </w:r>
          </w:p>
        </w:tc>
        <w:tc>
          <w:tcPr>
            <w:tcW w:w="606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comptes annuels de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 entreprises pour lesquelles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entreprise est indéfiniment responsable sont-ils joints à ceux de la société auditée ? Si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non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la raison est-elle mentionnée ?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8D79F0" w:rsidRDefault="008D79F0">
      <w:r>
        <w:br w:type="page"/>
      </w:r>
    </w:p>
    <w:tbl>
      <w:tblPr>
        <w:tblW w:w="12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3924"/>
        <w:gridCol w:w="961"/>
        <w:gridCol w:w="1005"/>
        <w:gridCol w:w="5405"/>
      </w:tblGrid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 xml:space="preserve">PLACEMENTS DE TRESORERIE </w:t>
            </w:r>
            <w:r w:rsidR="00135CAA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ET</w:t>
            </w: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COMPTES DE REGULARISATION ACTIFS</w:t>
            </w: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C5.6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 colonne contrôlée par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N-1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C5.6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Réconciliation des montants totaux avec 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 (page C2.1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6639EC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0B4FB9" w:rsidRPr="00F24591" w:rsidRDefault="000B4FB9" w:rsidP="00896CE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C5.6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Vérifier que la ventil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ation de la rubrique 490/1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 a été effectuée si la rubrique représente un montant important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ETAT DU CAPITAL </w:t>
            </w: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 colonne contrôlée par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N-1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montants totaux avec le passif (page C2.2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liation entre la structure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actionnariat et le dossier permanent (ne pas mentionner les actionnaires personnes physiques)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Attention particulière au(x) :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6639EC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capital non libéré et/ou non versé (actionnaire(s) redevable(s))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actions propres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8D79F0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engagement d’</w:t>
            </w:r>
            <w:r w:rsidR="000B4FB9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émission d'actions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capital autorisé non souscrit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6639EC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parts non représentatives du capital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PROVISIONS POUR AUTRES RISQUES ET CHARGES</w:t>
            </w:r>
          </w:p>
        </w:tc>
      </w:tr>
      <w:tr w:rsidR="000B4FB9" w:rsidRPr="00F24591" w:rsidTr="008D79F0">
        <w:trPr>
          <w:trHeight w:val="809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C5.8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ventilation des provisions a-t-elle été effectuée si les provisions représentent un montant important ?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8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 xml:space="preserve">ETAT DES DETTES </w:t>
            </w:r>
            <w:r w:rsidR="00135CAA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ET</w:t>
            </w: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COMPTES DE REGULARISATION PASSIFS</w:t>
            </w:r>
          </w:p>
        </w:tc>
      </w:tr>
      <w:tr w:rsidR="000B4FB9" w:rsidRPr="007B2490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C5.9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Réconciliation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es informations du dossier permanent (tableaux de remboursement et conventions de prêts)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avec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les comptes du passif (page C2.2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C5.9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7B249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dettes fiscales, salariales et sociales avec les comptes du passif et attention parti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culière à la répartition entre « 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échu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 »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"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 « 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non échu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 »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 "estimé".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C5.9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Vérifier que la ventilation de la rubrique 492/3 du passif a été effectuée si la rubrique représente un montant important.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7B249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RESULTATS D</w:t>
            </w:r>
            <w:r w:rsidR="007B2490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’</w:t>
            </w: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EXPLOITATION</w:t>
            </w: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C5.10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informations mentionnées avec le compte de résultat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(page C3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C5.10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avec les travailleurs inscrits au registre du personnel ainsi que le personnel intérimai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re et/ou mis à disposition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 et le bilan social (page 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RESULTATS FINANCIERS ET EXCEPTIONNELS</w:t>
            </w: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informations mentionnées avec le compte de résultat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(page C3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que la ventilation des résultats exceptionnels a bien été effectuée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IMPOTS ET TAXES</w:t>
            </w: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montants avec le compte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de résultats et le calcul de l’impôt tel qu’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audité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2B1123" w:rsidRPr="00896CED" w:rsidTr="002B1123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2B1123" w:rsidRPr="00896CED" w:rsidRDefault="002B1123" w:rsidP="002B112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IMPOTS ET TAXES</w:t>
            </w:r>
          </w:p>
        </w:tc>
      </w:tr>
      <w:tr w:rsidR="000B4FB9" w:rsidRPr="00F24591" w:rsidTr="008D79F0">
        <w:trPr>
          <w:trHeight w:val="102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B037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Réconciliation des principales sources de disparités (DNA, DIN, 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etc.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 et/ou latences fiscales (pertes fisca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reportées) avec le calcul d’impôt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et la déclaration fiscale de N-1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que les montants de TVA ont été calculés correctement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du montant des précomptes retenus à charge d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 tiers avec le relevé 325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année et/ou les déclarations introduites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DROITS ET ENGAGEMENTS HORS BILAN</w:t>
            </w: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montants avec les informations contenues dans le dossier permanent (conventions de prêt)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des confirmations bancaires et des attestations hypothécaires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de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 différents contrats afin de s’assurer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exhaustivité des informations reprises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102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 la nature et de l’</w:t>
            </w:r>
            <w:r w:rsidR="000B4FB9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objectif commercial des opérations non inscrites au bilan si les risques et avantages qui en découlent seront s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ignificatifs et nécessaires à l’</w:t>
            </w:r>
            <w:r w:rsidR="000B4FB9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appréciation de la situation financière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des opérations de couverture sur marché à terme (marchandises et/ou devises achetées et/ou vendues à terme)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des engagements pour pensions et description du régime de pensions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:rsidR="002B1123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RELATIONS AVEC LES ENTREPRISES LIEES</w:t>
            </w: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entre le montant des immobilisations financières (répartition entre entreprises liées et entreprises a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vec lien de participation) et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 du bilan (page C2.1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dans les comptes de créances, placements de trésorerie et de dettes que tous les comptes </w:t>
            </w:r>
            <w:proofErr w:type="spellStart"/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interco</w:t>
            </w:r>
            <w:proofErr w:type="spellEnd"/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ont été pointés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Attention particulière aux droits et engagements hors bilan </w:t>
            </w:r>
            <w:proofErr w:type="spellStart"/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interco</w:t>
            </w:r>
            <w:proofErr w:type="spellEnd"/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B037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Attention particulière aux résultats financiers </w:t>
            </w:r>
            <w:proofErr w:type="spellStart"/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interco</w:t>
            </w:r>
            <w:proofErr w:type="spellEnd"/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(intérêts sur prêts, d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ividendes, 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etc.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 et aux cessions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actifs immobilisés </w:t>
            </w:r>
            <w:proofErr w:type="spellStart"/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interco</w:t>
            </w:r>
            <w:proofErr w:type="spellEnd"/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153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000000" w:fill="FFFFFF"/>
            <w:hideMark/>
          </w:tcPr>
          <w:p w:rsidR="00C108D6" w:rsidRPr="00F24591" w:rsidRDefault="00C108D6" w:rsidP="002B112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des transactions avec les parties liées (sociétés filles, sœurs, mères, administrateurs, g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érants, actionnaires, membres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organes d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 gestion, de surveillance et d’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administration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 effectuées dans des conditions autres que celles du marché sauf si elles sont effectuées avec une filiale détenue à plus de 99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%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8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RELATIONS AVEC LES ADMINISTRATEURS, GERANTS ET COMMISSAIRES</w:t>
            </w:r>
          </w:p>
        </w:tc>
      </w:tr>
      <w:tr w:rsidR="00C108D6" w:rsidRPr="007B2490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C5.15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dans les comptes de créances et de dettes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de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tous les comptes en rapport avec les personnes reprises en page C1.1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C5.15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Vérifier qu'aucune mission n'a été réalisée par le commissaire (autre que le mandat), sinon mentionner les honoraires facturés dans la rubrique </w:t>
            </w:r>
            <w:r w:rsidRPr="00B0378C">
              <w:rPr>
                <w:rFonts w:ascii="Arial" w:eastAsia="Times New Roman" w:hAnsi="Arial" w:cs="Arial"/>
                <w:i/>
                <w:sz w:val="20"/>
                <w:szCs w:val="20"/>
                <w:lang w:val="fr-BE"/>
              </w:rPr>
              <w:t>ad hoc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:rsidR="002B1123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2B1123" w:rsidRPr="00896CED" w:rsidTr="002B1123">
        <w:trPr>
          <w:trHeight w:val="28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2B1123" w:rsidRPr="00896CED" w:rsidRDefault="002B1123" w:rsidP="002B112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RELATIONS AVEC LES ADMINISTRATEURS, GERANTS ET COMMISSAIRES</w:t>
            </w: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C5.15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des émoluments de commissaire de la société ET de ses filiales pour les sociétés fai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sant recours à l'exception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article 112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du C. Soc</w:t>
            </w:r>
            <w:proofErr w:type="gramStart"/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proofErr w:type="gramEnd"/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337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INSTRUMENTS FINANCIERS DERIVES NON EVALUES A LA JUSTE VALEUR</w:t>
            </w:r>
          </w:p>
        </w:tc>
      </w:tr>
      <w:tr w:rsidR="00C108D6" w:rsidRPr="00F24591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C5.16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Attention particulière à ces instruments financiers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COMPTES CONSOLIDES</w:t>
            </w: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C5.17.1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Vérification, le cas 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échéant, que la justification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exemption de consolidation est correcte et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que l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es documents justificatifs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ont été reçus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C5.17.1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que les coordonnées de la société mère qui consolide soient bien reprises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7B2490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C5.17.1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rification de la structure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actionnariat de la société avec le dossier permanent et la page C5.7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C5.17.1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justification du non-dépôt des comptes annuels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C5.17.2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que les informations liées aux rémunérations du commissaire sont bien complétées si les comptes annuels sont relatifs à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la société-mère en 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Belgique.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BILAN SOCIAL</w:t>
            </w: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réconciliation avec le bilan social reçu du secrétariat social et audité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du nombre de membres du personnel avec le listing DIMONA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:rsidR="002B1123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F15245" w:rsidRDefault="00F15245">
      <w:r>
        <w:br w:type="page"/>
      </w:r>
    </w:p>
    <w:tbl>
      <w:tblPr>
        <w:tblW w:w="12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3924"/>
        <w:gridCol w:w="864"/>
        <w:gridCol w:w="97"/>
        <w:gridCol w:w="864"/>
        <w:gridCol w:w="141"/>
        <w:gridCol w:w="864"/>
        <w:gridCol w:w="4541"/>
      </w:tblGrid>
      <w:tr w:rsidR="002B1123" w:rsidRPr="00896CED" w:rsidTr="002B1123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:rsidR="002B1123" w:rsidRPr="00896CED" w:rsidRDefault="002B1123" w:rsidP="002B112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BILAN SOCIAL</w:t>
            </w: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 colonne contrôlée par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N-1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Effectuer un test de vraisemblance entre les frais de personnel et les heures prestées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entre les différents montants et les comptes 617 et 62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2B112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que les frais de formation comprennent aussi bien les frais directs (inscriptions aux séminaires,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etc.)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qu’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indirects (salaires des participants, frais de déplacement,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etc.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REGLES D'EVALUATION</w:t>
            </w: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règles d’</w:t>
            </w:r>
            <w:r w:rsidR="00C108D6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 mentionnées en annexe des comptes annuels sont-elles conformes aux règles utilisées pour la préparation des comptes audités ?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B0378C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B037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Effec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tuer le lien entre les règles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 mentionnées en annexe des comptes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annuels, le 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dossier permanent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 les règles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ion approuvées par le conseil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administration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l’</w:t>
            </w:r>
            <w:r w:rsidR="00C108D6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impact chiff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 d'un changement de méthode d’</w:t>
            </w:r>
            <w:r w:rsidR="00C108D6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 est-il mentionné ?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6639EC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Une attention particulière a-t-elle été portée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à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la description des règles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évaluation: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A44A9C" w:rsidRDefault="00C108D6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justification de 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réalisation des conditions d’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activation des charges de restructuration (art. 58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30/01/2001)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B919EE" w:rsidRPr="00896CED" w:rsidTr="007B249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B919EE" w:rsidRPr="00896CED" w:rsidRDefault="00B919EE" w:rsidP="007B249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REGLES D'EVALUATION</w:t>
            </w:r>
          </w:p>
        </w:tc>
      </w:tr>
      <w:tr w:rsidR="00C108D6" w:rsidRPr="00F24591" w:rsidTr="008D79F0">
        <w:trPr>
          <w:trHeight w:val="601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A44A9C" w:rsidRDefault="00C108D6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justification de 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plus-value de réévaluation d’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immobilisations corporelles et/ou participations et actions détenues en immobilisation financière (art. 56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30/01/2001)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A44A9C" w:rsidRDefault="00C108D6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j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ustification de la dérogation d’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amortir le goodwil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et/ou frais de recherches et développement sur plus de 5 ans (art. 61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30/01/2001)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A44A9C" w:rsidRDefault="00B919EE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 l’activation des charges d’</w:t>
            </w:r>
            <w:r w:rsidR="00C108D6"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intérêts dans la valeur des immobilisations incorporelles, corporelles et/ou stocks (art. 38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C108D6"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C108D6"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30/01/2001)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B0378C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A44A9C" w:rsidRDefault="00C108D6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justification de la dérogation au principe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d’image fidèle dans les règles d’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 (art. 29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30/01/2001)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B0378C" w:rsidTr="008D79F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RAPPORT DE GESTION</w:t>
            </w:r>
          </w:p>
        </w:tc>
      </w:tr>
      <w:tr w:rsidR="00C108D6" w:rsidRPr="00B0378C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C8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B919EE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tel qu’</w:t>
            </w:r>
            <w:r w:rsidR="00C108D6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audité est-il annexé aux comptes annuels ?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F24591" w:rsidTr="008D79F0">
        <w:trPr>
          <w:trHeight w:val="1275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C8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Pr="00F24591" w:rsidRDefault="00C108D6" w:rsidP="00B037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Pour les petites sociétés établissant des co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mptes annuels abrégés, en cas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abs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ence de rapport de gestion et d’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 96,</w:t>
            </w:r>
            <w:r w:rsidR="00B0378C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§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B0378C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, 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6°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C. Soc.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la justification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des règles de continuité est-elle reprise en annexe des comptes annuels ?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RAPPORT DE COMMISSAIRE</w:t>
            </w:r>
          </w:p>
        </w:tc>
      </w:tr>
      <w:tr w:rsidR="00C108D6" w:rsidRPr="00F24591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C9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:rsidR="00C108D6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du commissaire est-il annexé aux comptes annuels ?</w:t>
            </w:r>
          </w:p>
          <w:p w:rsidR="00B919EE" w:rsidRDefault="00B919EE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B919EE" w:rsidRPr="00F24591" w:rsidRDefault="00B919EE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:rsidTr="008D79F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AUTRE ANNEXE</w:t>
            </w:r>
          </w:p>
        </w:tc>
      </w:tr>
      <w:tr w:rsidR="0094218A" w:rsidRPr="007B2490" w:rsidTr="008D79F0">
        <w:trPr>
          <w:trHeight w:val="1275"/>
        </w:trPr>
        <w:tc>
          <w:tcPr>
            <w:tcW w:w="1039" w:type="dxa"/>
            <w:shd w:val="clear" w:color="auto" w:fill="auto"/>
            <w:noWrap/>
            <w:hideMark/>
          </w:tcPr>
          <w:p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:rsidR="00F24591" w:rsidRPr="00F24591" w:rsidRDefault="00F24591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924" w:type="dxa"/>
            <w:shd w:val="clear" w:color="auto" w:fill="auto"/>
            <w:hideMark/>
          </w:tcPr>
          <w:p w:rsidR="00F24591" w:rsidRPr="00F24591" w:rsidRDefault="00F24591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Dans les sociétés non tenues de déposer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un rapport de gestion en cas d’application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article 96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B0378C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B0378C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, 6° 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C. Soc.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(perte reportée au bilan ou résultat en perte deux années consécutive</w:t>
            </w:r>
            <w:r w:rsidR="00BA186F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14033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est-il fait mention de la justification de l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des règles comptables de continuité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24591" w:rsidRPr="00F24591" w:rsidRDefault="00F24591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tbl>
      <w:tblPr>
        <w:tblStyle w:val="TableGrid"/>
        <w:tblW w:w="12333" w:type="dxa"/>
        <w:tblInd w:w="108" w:type="dxa"/>
        <w:tblLook w:val="01E0"/>
      </w:tblPr>
      <w:tblGrid>
        <w:gridCol w:w="4962"/>
        <w:gridCol w:w="1842"/>
        <w:gridCol w:w="2552"/>
        <w:gridCol w:w="2977"/>
      </w:tblGrid>
      <w:tr w:rsidR="00B919EE" w:rsidRPr="007B2490" w:rsidTr="00B919EE">
        <w:trPr>
          <w:trHeight w:val="3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19EE" w:rsidRPr="002E3AE7" w:rsidRDefault="00B919EE" w:rsidP="007B2490">
            <w:pPr>
              <w:pStyle w:val="Vrijevorm"/>
              <w:tabs>
                <w:tab w:val="left" w:pos="7920"/>
              </w:tabs>
              <w:spacing w:before="60" w:after="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fr-BE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19EE" w:rsidRPr="00691B21" w:rsidRDefault="00B919EE" w:rsidP="007B2490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19EE" w:rsidRPr="00691B21" w:rsidRDefault="00B919EE" w:rsidP="007B2490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19EE" w:rsidRPr="00691B21" w:rsidRDefault="00B919EE" w:rsidP="007B2490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B919EE" w:rsidRPr="007B2490" w:rsidTr="00B919EE">
        <w:trPr>
          <w:trHeight w:val="35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EE" w:rsidRPr="002E3AE7" w:rsidRDefault="00B919EE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fr-BE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EE" w:rsidRPr="00691B21" w:rsidRDefault="00B919EE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EE" w:rsidRPr="00691B21" w:rsidRDefault="00B919EE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EE" w:rsidRPr="00691B21" w:rsidRDefault="00B919EE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6639EC" w:rsidRPr="00691B21" w:rsidTr="00B919EE">
        <w:trPr>
          <w:trHeight w:val="353"/>
        </w:trPr>
        <w:tc>
          <w:tcPr>
            <w:tcW w:w="4962" w:type="dxa"/>
            <w:tcBorders>
              <w:top w:val="single" w:sz="4" w:space="0" w:color="auto"/>
            </w:tcBorders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2E3AE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fr-BE" w:eastAsia="en-US"/>
              </w:rPr>
              <w:br w:type="page"/>
            </w: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6639EC" w:rsidRPr="00691B21" w:rsidTr="00896CED">
        <w:trPr>
          <w:trHeight w:val="352"/>
        </w:trPr>
        <w:tc>
          <w:tcPr>
            <w:tcW w:w="4962" w:type="dxa"/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Revu par</w:t>
            </w: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 l’associé responsable de la mission</w:t>
            </w:r>
          </w:p>
        </w:tc>
        <w:tc>
          <w:tcPr>
            <w:tcW w:w="1842" w:type="dxa"/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977" w:type="dxa"/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6639EC" w:rsidRPr="003B0D1E" w:rsidTr="00896CED">
        <w:trPr>
          <w:trHeight w:val="352"/>
        </w:trPr>
        <w:tc>
          <w:tcPr>
            <w:tcW w:w="4962" w:type="dxa"/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Revu par le responsable contrôle qualité </w:t>
            </w:r>
          </w:p>
        </w:tc>
        <w:tc>
          <w:tcPr>
            <w:tcW w:w="1842" w:type="dxa"/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977" w:type="dxa"/>
          </w:tcPr>
          <w:p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:rsidR="00127B5A" w:rsidRPr="002E600E" w:rsidRDefault="00127B5A" w:rsidP="00A44A9C">
      <w:pPr>
        <w:rPr>
          <w:lang w:val="fr-BE"/>
        </w:rPr>
      </w:pPr>
    </w:p>
    <w:sectPr w:rsidR="00127B5A" w:rsidRPr="002E600E" w:rsidSect="00A44A9C">
      <w:headerReference w:type="default" r:id="rId8"/>
      <w:footerReference w:type="default" r:id="rId9"/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8C" w:rsidRDefault="00B0378C" w:rsidP="002E600E">
      <w:pPr>
        <w:spacing w:after="0" w:line="240" w:lineRule="auto"/>
      </w:pPr>
      <w:r>
        <w:separator/>
      </w:r>
    </w:p>
  </w:endnote>
  <w:endnote w:type="continuationSeparator" w:id="0">
    <w:p w:rsidR="00B0378C" w:rsidRDefault="00B0378C" w:rsidP="002E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8C" w:rsidRDefault="00B0378C" w:rsidP="002E3AE7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Pr="002E3AE7">
      <w:rPr>
        <w:rFonts w:ascii="Arial" w:hAnsi="Arial" w:cs="Arial"/>
        <w:sz w:val="18"/>
        <w:szCs w:val="18"/>
      </w:rPr>
      <w:fldChar w:fldCharType="begin"/>
    </w:r>
    <w:r w:rsidRPr="002E3AE7">
      <w:rPr>
        <w:rFonts w:ascii="Arial" w:hAnsi="Arial" w:cs="Arial"/>
        <w:sz w:val="18"/>
        <w:szCs w:val="18"/>
      </w:rPr>
      <w:instrText xml:space="preserve"> PAGE   \* MERGEFORMAT </w:instrText>
    </w:r>
    <w:r w:rsidRPr="002E3AE7">
      <w:rPr>
        <w:rFonts w:ascii="Arial" w:hAnsi="Arial" w:cs="Arial"/>
        <w:sz w:val="18"/>
        <w:szCs w:val="18"/>
      </w:rPr>
      <w:fldChar w:fldCharType="separate"/>
    </w:r>
    <w:r w:rsidR="00D944D7">
      <w:rPr>
        <w:rFonts w:ascii="Arial" w:hAnsi="Arial" w:cs="Arial"/>
        <w:noProof/>
        <w:sz w:val="18"/>
        <w:szCs w:val="18"/>
      </w:rPr>
      <w:t>10</w:t>
    </w:r>
    <w:r w:rsidRPr="002E3AE7">
      <w:rPr>
        <w:rFonts w:ascii="Arial" w:hAnsi="Arial" w:cs="Arial"/>
        <w:sz w:val="18"/>
        <w:szCs w:val="18"/>
      </w:rPr>
      <w:fldChar w:fldCharType="end"/>
    </w:r>
    <w:r w:rsidRPr="002E3AE7">
      <w:rPr>
        <w:rFonts w:ascii="Arial" w:hAnsi="Arial" w:cs="Arial"/>
        <w:sz w:val="18"/>
        <w:szCs w:val="18"/>
      </w:rPr>
      <w:t>/10</w:t>
    </w:r>
  </w:p>
  <w:p w:rsidR="00B0378C" w:rsidRDefault="00B03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8C" w:rsidRDefault="00B0378C" w:rsidP="002E600E">
      <w:pPr>
        <w:spacing w:after="0" w:line="240" w:lineRule="auto"/>
      </w:pPr>
      <w:r>
        <w:separator/>
      </w:r>
    </w:p>
  </w:footnote>
  <w:footnote w:type="continuationSeparator" w:id="0">
    <w:p w:rsidR="00B0378C" w:rsidRDefault="00B0378C" w:rsidP="002E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8C" w:rsidRDefault="00B0378C">
    <w:pPr>
      <w:pStyle w:val="Header"/>
      <w:rPr>
        <w:rFonts w:ascii="Arial" w:hAnsi="Arial" w:cs="Arial"/>
        <w:b/>
        <w:sz w:val="24"/>
        <w:szCs w:val="24"/>
        <w:lang w:val="fr-BE"/>
      </w:rPr>
    </w:pPr>
    <w:r w:rsidRPr="002E600E">
      <w:rPr>
        <w:rFonts w:ascii="Arial" w:hAnsi="Arial" w:cs="Arial"/>
        <w:b/>
        <w:sz w:val="24"/>
        <w:szCs w:val="24"/>
        <w:lang w:val="fr-BE"/>
      </w:rPr>
      <w:t xml:space="preserve">Check-list D1 – Contrôle des comptes annuels </w:t>
    </w:r>
    <w:r>
      <w:rPr>
        <w:rFonts w:ascii="Arial" w:hAnsi="Arial" w:cs="Arial"/>
        <w:b/>
        <w:sz w:val="24"/>
        <w:szCs w:val="24"/>
        <w:lang w:val="fr-BE"/>
      </w:rPr>
      <w:t xml:space="preserve">à </w:t>
    </w:r>
    <w:r w:rsidRPr="002E600E">
      <w:rPr>
        <w:rFonts w:ascii="Arial" w:hAnsi="Arial" w:cs="Arial"/>
        <w:b/>
        <w:sz w:val="24"/>
        <w:szCs w:val="24"/>
        <w:lang w:val="fr-BE"/>
      </w:rPr>
      <w:t>dépos</w:t>
    </w:r>
    <w:r>
      <w:rPr>
        <w:rFonts w:ascii="Arial" w:hAnsi="Arial" w:cs="Arial"/>
        <w:b/>
        <w:sz w:val="24"/>
        <w:szCs w:val="24"/>
        <w:lang w:val="fr-BE"/>
      </w:rPr>
      <w:t>er</w:t>
    </w:r>
    <w:r w:rsidRPr="002E600E">
      <w:rPr>
        <w:rFonts w:ascii="Arial" w:hAnsi="Arial" w:cs="Arial"/>
        <w:b/>
        <w:sz w:val="24"/>
        <w:szCs w:val="24"/>
        <w:lang w:val="fr-BE"/>
      </w:rPr>
      <w:t xml:space="preserve"> à la BNB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301"/>
    <w:multiLevelType w:val="hybridMultilevel"/>
    <w:tmpl w:val="9432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149"/>
    <w:multiLevelType w:val="hybridMultilevel"/>
    <w:tmpl w:val="D254889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61F07"/>
    <w:multiLevelType w:val="hybridMultilevel"/>
    <w:tmpl w:val="0D9ED6FA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27B5A"/>
    <w:rsid w:val="00050197"/>
    <w:rsid w:val="00074003"/>
    <w:rsid w:val="00075A2A"/>
    <w:rsid w:val="000B4FB9"/>
    <w:rsid w:val="000C01BE"/>
    <w:rsid w:val="001024E6"/>
    <w:rsid w:val="00127B5A"/>
    <w:rsid w:val="00135CAA"/>
    <w:rsid w:val="00140331"/>
    <w:rsid w:val="00147BFF"/>
    <w:rsid w:val="001707E2"/>
    <w:rsid w:val="002047F0"/>
    <w:rsid w:val="00214969"/>
    <w:rsid w:val="00244EDD"/>
    <w:rsid w:val="00275B60"/>
    <w:rsid w:val="002962F0"/>
    <w:rsid w:val="002A338C"/>
    <w:rsid w:val="002A4D12"/>
    <w:rsid w:val="002B1123"/>
    <w:rsid w:val="002D49D7"/>
    <w:rsid w:val="002E3AE7"/>
    <w:rsid w:val="002E600E"/>
    <w:rsid w:val="003319B9"/>
    <w:rsid w:val="003A38FD"/>
    <w:rsid w:val="003A4FC1"/>
    <w:rsid w:val="003C2AD1"/>
    <w:rsid w:val="00474331"/>
    <w:rsid w:val="004B3BEA"/>
    <w:rsid w:val="005904EF"/>
    <w:rsid w:val="005E0ED7"/>
    <w:rsid w:val="006639EC"/>
    <w:rsid w:val="0068137B"/>
    <w:rsid w:val="006E20CF"/>
    <w:rsid w:val="006E64E7"/>
    <w:rsid w:val="00741F20"/>
    <w:rsid w:val="007B2490"/>
    <w:rsid w:val="007E3DF2"/>
    <w:rsid w:val="007F6FD9"/>
    <w:rsid w:val="00800AF0"/>
    <w:rsid w:val="00830EAB"/>
    <w:rsid w:val="008405A6"/>
    <w:rsid w:val="00882AEB"/>
    <w:rsid w:val="00896CED"/>
    <w:rsid w:val="008D4C37"/>
    <w:rsid w:val="008D79F0"/>
    <w:rsid w:val="008E6600"/>
    <w:rsid w:val="00902E3E"/>
    <w:rsid w:val="0094218A"/>
    <w:rsid w:val="00993029"/>
    <w:rsid w:val="00A44A9C"/>
    <w:rsid w:val="00B011C8"/>
    <w:rsid w:val="00B0378C"/>
    <w:rsid w:val="00B919EE"/>
    <w:rsid w:val="00BA186F"/>
    <w:rsid w:val="00BB05E6"/>
    <w:rsid w:val="00C108D6"/>
    <w:rsid w:val="00C26B46"/>
    <w:rsid w:val="00C46D9E"/>
    <w:rsid w:val="00C77F8D"/>
    <w:rsid w:val="00D116F6"/>
    <w:rsid w:val="00D82986"/>
    <w:rsid w:val="00D944D7"/>
    <w:rsid w:val="00E50D62"/>
    <w:rsid w:val="00F15245"/>
    <w:rsid w:val="00F20E2F"/>
    <w:rsid w:val="00F24591"/>
    <w:rsid w:val="00F84D79"/>
    <w:rsid w:val="00F9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127B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Header">
    <w:name w:val="header"/>
    <w:basedOn w:val="Normal"/>
    <w:link w:val="HeaderChar"/>
    <w:uiPriority w:val="99"/>
    <w:unhideWhenUsed/>
    <w:rsid w:val="002E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0E"/>
  </w:style>
  <w:style w:type="paragraph" w:styleId="Footer">
    <w:name w:val="footer"/>
    <w:basedOn w:val="Normal"/>
    <w:link w:val="FooterChar"/>
    <w:uiPriority w:val="99"/>
    <w:unhideWhenUsed/>
    <w:rsid w:val="002E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0E"/>
  </w:style>
  <w:style w:type="paragraph" w:styleId="BalloonText">
    <w:name w:val="Balloon Text"/>
    <w:basedOn w:val="Normal"/>
    <w:link w:val="BalloonTextChar"/>
    <w:uiPriority w:val="99"/>
    <w:semiHidden/>
    <w:unhideWhenUsed/>
    <w:rsid w:val="002E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5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6D9E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D9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46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127B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Header">
    <w:name w:val="header"/>
    <w:basedOn w:val="Normal"/>
    <w:link w:val="HeaderChar"/>
    <w:uiPriority w:val="99"/>
    <w:unhideWhenUsed/>
    <w:rsid w:val="002E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0E"/>
  </w:style>
  <w:style w:type="paragraph" w:styleId="Footer">
    <w:name w:val="footer"/>
    <w:basedOn w:val="Normal"/>
    <w:link w:val="FooterChar"/>
    <w:uiPriority w:val="99"/>
    <w:unhideWhenUsed/>
    <w:rsid w:val="002E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0E"/>
  </w:style>
  <w:style w:type="paragraph" w:styleId="BalloonText">
    <w:name w:val="Balloon Text"/>
    <w:basedOn w:val="Normal"/>
    <w:link w:val="BalloonTextChar"/>
    <w:uiPriority w:val="99"/>
    <w:semiHidden/>
    <w:unhideWhenUsed/>
    <w:rsid w:val="002E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5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6D9E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D9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46D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MPT7ECPAHCR6-758363236-131</_dlc_DocId>
    <_dlc_DocIdUrl xmlns="90359a4a-3ee0-4d21-9975-9d02abdd1639">
      <Url>https://doc.icci.be/fr/_layouts/15/DocIdRedir.aspx?ID=MPT7ECPAHCR6-758363236-131</Url>
      <Description>MPT7ECPAHCR6-758363236-131</Description>
    </_dlc_DocIdUrl>
  </documentManagement>
</p:properties>
</file>

<file path=customXml/itemProps1.xml><?xml version="1.0" encoding="utf-8"?>
<ds:datastoreItem xmlns:ds="http://schemas.openxmlformats.org/officeDocument/2006/customXml" ds:itemID="{EFDA6E41-26C2-4D0C-9056-6B7D14087768}"/>
</file>

<file path=customXml/itemProps2.xml><?xml version="1.0" encoding="utf-8"?>
<ds:datastoreItem xmlns:ds="http://schemas.openxmlformats.org/officeDocument/2006/customXml" ds:itemID="{82FC24EF-F58D-4EE9-88BC-6486FB684836}"/>
</file>

<file path=customXml/itemProps3.xml><?xml version="1.0" encoding="utf-8"?>
<ds:datastoreItem xmlns:ds="http://schemas.openxmlformats.org/officeDocument/2006/customXml" ds:itemID="{4A4A955B-AEED-4F43-B19D-F412EB6842ED}"/>
</file>

<file path=customXml/itemProps4.xml><?xml version="1.0" encoding="utf-8"?>
<ds:datastoreItem xmlns:ds="http://schemas.openxmlformats.org/officeDocument/2006/customXml" ds:itemID="{6CD33411-5FF6-4D40-BEF2-AADD668B3647}"/>
</file>

<file path=customXml/itemProps5.xml><?xml version="1.0" encoding="utf-8"?>
<ds:datastoreItem xmlns:ds="http://schemas.openxmlformats.org/officeDocument/2006/customXml" ds:itemID="{51334667-2192-435F-B155-34A3881F4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1738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Interimair 2</dc:creator>
  <cp:keywords/>
  <dc:description/>
  <cp:lastModifiedBy>admin</cp:lastModifiedBy>
  <cp:revision>40</cp:revision>
  <cp:lastPrinted>2011-06-20T14:05:00Z</cp:lastPrinted>
  <dcterms:created xsi:type="dcterms:W3CDTF">2011-03-17T11:33:00Z</dcterms:created>
  <dcterms:modified xsi:type="dcterms:W3CDTF">2011-12-18T17:54:00Z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212c453c-845f-4ea2-b62e-1ae2006a343d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