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CEF56" w14:textId="77777777" w:rsidR="006611F7" w:rsidRPr="00365CDB" w:rsidRDefault="003E0FDB" w:rsidP="00365CD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ANNEXE</w:t>
      </w:r>
      <w:r w:rsidR="001902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F272D">
        <w:rPr>
          <w:rFonts w:ascii="Times New Roman" w:hAnsi="Times New Roman" w:cs="Times New Roman"/>
          <w:sz w:val="24"/>
          <w:szCs w:val="24"/>
          <w:lang w:val="fr-FR"/>
        </w:rPr>
        <w:t>8</w:t>
      </w:r>
    </w:p>
    <w:p w14:paraId="249CEF57" w14:textId="77777777" w:rsidR="00365CDB" w:rsidRPr="00DE2864" w:rsidRDefault="00D914E0" w:rsidP="00365CD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S</w:t>
      </w:r>
      <w:r w:rsidR="00C36BDB">
        <w:rPr>
          <w:rFonts w:ascii="Times New Roman" w:hAnsi="Times New Roman"/>
          <w:b/>
          <w:sz w:val="24"/>
          <w:szCs w:val="24"/>
          <w:lang w:val="fr-FR"/>
        </w:rPr>
        <w:t>élection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r w:rsidR="00146E2A">
        <w:rPr>
          <w:rFonts w:ascii="Times New Roman" w:hAnsi="Times New Roman"/>
          <w:b/>
          <w:sz w:val="24"/>
          <w:szCs w:val="24"/>
          <w:lang w:val="fr-FR"/>
        </w:rPr>
        <w:t>r</w:t>
      </w:r>
      <w:r w:rsidR="00365CDB" w:rsidRPr="00DE2864">
        <w:rPr>
          <w:rFonts w:ascii="Times New Roman" w:hAnsi="Times New Roman"/>
          <w:b/>
          <w:sz w:val="24"/>
          <w:szCs w:val="24"/>
          <w:lang w:val="fr-FR"/>
        </w:rPr>
        <w:t>éférences au</w:t>
      </w:r>
      <w:r w:rsidR="00146E2A">
        <w:rPr>
          <w:rFonts w:ascii="Times New Roman" w:hAnsi="Times New Roman"/>
          <w:b/>
          <w:sz w:val="24"/>
          <w:szCs w:val="24"/>
          <w:lang w:val="fr-FR"/>
        </w:rPr>
        <w:t xml:space="preserve"> rapport du commissaire dans le</w:t>
      </w:r>
      <w:r w:rsidR="00365CDB" w:rsidRPr="00DE286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CC17FF" w:rsidRPr="001E138C">
        <w:rPr>
          <w:rFonts w:ascii="Times New Roman" w:hAnsi="Times New Roman"/>
          <w:b/>
          <w:sz w:val="24"/>
          <w:szCs w:val="24"/>
          <w:lang w:val="fr-FR"/>
        </w:rPr>
        <w:t>Vadémécum</w:t>
      </w:r>
      <w:r w:rsidR="00365CDB" w:rsidRPr="00A2553C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r w:rsidR="00146E2A">
        <w:rPr>
          <w:rFonts w:ascii="Times New Roman" w:hAnsi="Times New Roman"/>
          <w:b/>
          <w:sz w:val="24"/>
          <w:szCs w:val="24"/>
          <w:lang w:val="fr-FR"/>
        </w:rPr>
        <w:t>les</w:t>
      </w:r>
      <w:r w:rsidR="00365CDB" w:rsidRPr="00A2553C">
        <w:rPr>
          <w:rFonts w:ascii="Times New Roman" w:hAnsi="Times New Roman"/>
          <w:b/>
          <w:sz w:val="24"/>
          <w:szCs w:val="24"/>
          <w:lang w:val="fr-FR"/>
        </w:rPr>
        <w:t xml:space="preserve"> avis</w:t>
      </w:r>
      <w:r w:rsidR="00365CDB">
        <w:rPr>
          <w:rFonts w:ascii="Times New Roman" w:hAnsi="Times New Roman"/>
          <w:b/>
          <w:sz w:val="24"/>
          <w:szCs w:val="24"/>
          <w:lang w:val="fr-FR"/>
        </w:rPr>
        <w:t>,</w:t>
      </w:r>
      <w:r w:rsidR="00365CDB" w:rsidRPr="00A2553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365CDB">
        <w:rPr>
          <w:rFonts w:ascii="Times New Roman" w:hAnsi="Times New Roman"/>
          <w:b/>
          <w:sz w:val="24"/>
          <w:szCs w:val="24"/>
          <w:lang w:val="fr-FR"/>
        </w:rPr>
        <w:t xml:space="preserve">circulaires et communications </w:t>
      </w:r>
      <w:r w:rsidR="00365CDB" w:rsidRPr="00A2553C">
        <w:rPr>
          <w:rFonts w:ascii="Times New Roman" w:hAnsi="Times New Roman"/>
          <w:b/>
          <w:sz w:val="24"/>
          <w:szCs w:val="24"/>
          <w:lang w:val="fr-FR"/>
        </w:rPr>
        <w:t>émis par l</w:t>
      </w:r>
      <w:r w:rsidR="001E138C">
        <w:rPr>
          <w:rFonts w:ascii="Times New Roman" w:hAnsi="Times New Roman"/>
          <w:b/>
          <w:sz w:val="24"/>
          <w:szCs w:val="24"/>
          <w:lang w:val="fr-FR"/>
        </w:rPr>
        <w:t>’</w:t>
      </w:r>
      <w:r w:rsidR="00365CDB" w:rsidRPr="00A2553C">
        <w:rPr>
          <w:rFonts w:ascii="Times New Roman" w:hAnsi="Times New Roman"/>
          <w:b/>
          <w:sz w:val="24"/>
          <w:szCs w:val="24"/>
          <w:lang w:val="fr-FR"/>
        </w:rPr>
        <w:t>Institut des Réviseurs d</w:t>
      </w:r>
      <w:r w:rsidR="001E138C">
        <w:rPr>
          <w:rFonts w:ascii="Times New Roman" w:hAnsi="Times New Roman"/>
          <w:b/>
          <w:sz w:val="24"/>
          <w:szCs w:val="24"/>
          <w:lang w:val="fr-FR"/>
        </w:rPr>
        <w:t>’</w:t>
      </w:r>
      <w:r w:rsidR="00365CDB" w:rsidRPr="00A2553C">
        <w:rPr>
          <w:rFonts w:ascii="Times New Roman" w:hAnsi="Times New Roman"/>
          <w:b/>
          <w:sz w:val="24"/>
          <w:szCs w:val="24"/>
          <w:lang w:val="fr-FR"/>
        </w:rPr>
        <w:t>Entreprises</w:t>
      </w:r>
      <w:r w:rsidR="0099054C">
        <w:rPr>
          <w:rFonts w:ascii="Times New Roman" w:hAnsi="Times New Roman"/>
          <w:b/>
          <w:sz w:val="24"/>
          <w:szCs w:val="24"/>
          <w:lang w:val="fr-FR"/>
        </w:rPr>
        <w:t>,</w:t>
      </w:r>
      <w:r w:rsidR="00146E2A">
        <w:rPr>
          <w:rFonts w:ascii="Times New Roman" w:hAnsi="Times New Roman"/>
          <w:b/>
          <w:sz w:val="24"/>
          <w:szCs w:val="24"/>
          <w:lang w:val="fr-FR"/>
        </w:rPr>
        <w:t xml:space="preserve"> ainsi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que </w:t>
      </w:r>
      <w:r w:rsidR="0099054C">
        <w:rPr>
          <w:rFonts w:ascii="Times New Roman" w:hAnsi="Times New Roman"/>
          <w:b/>
          <w:sz w:val="24"/>
          <w:szCs w:val="24"/>
          <w:lang w:val="fr-FR"/>
        </w:rPr>
        <w:t xml:space="preserve">de </w:t>
      </w:r>
      <w:r w:rsidR="00146E2A">
        <w:rPr>
          <w:rFonts w:ascii="Times New Roman" w:hAnsi="Times New Roman"/>
          <w:b/>
          <w:sz w:val="24"/>
          <w:szCs w:val="24"/>
          <w:lang w:val="fr-FR"/>
        </w:rPr>
        <w:t>certains</w:t>
      </w:r>
      <w:r w:rsidR="00A875C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365CDB" w:rsidRPr="004B4A97">
        <w:rPr>
          <w:rFonts w:ascii="Times New Roman" w:hAnsi="Times New Roman"/>
          <w:b/>
          <w:sz w:val="24"/>
          <w:szCs w:val="24"/>
          <w:lang w:val="fr-FR"/>
        </w:rPr>
        <w:t>avis de l</w:t>
      </w:r>
      <w:r w:rsidR="001E138C">
        <w:rPr>
          <w:rFonts w:ascii="Times New Roman" w:hAnsi="Times New Roman"/>
          <w:b/>
          <w:sz w:val="24"/>
          <w:szCs w:val="24"/>
          <w:lang w:val="fr-FR"/>
        </w:rPr>
        <w:t>’</w:t>
      </w:r>
      <w:r w:rsidR="00365CDB" w:rsidRPr="004B4A97">
        <w:rPr>
          <w:rFonts w:ascii="Times New Roman" w:hAnsi="Times New Roman"/>
          <w:b/>
          <w:sz w:val="24"/>
          <w:szCs w:val="24"/>
          <w:lang w:val="fr-FR"/>
        </w:rPr>
        <w:t>ICCI</w:t>
      </w:r>
      <w:r w:rsidR="00365CDB" w:rsidRPr="00A2553C">
        <w:rPr>
          <w:rFonts w:ascii="Times New Roman" w:hAnsi="Times New Roman"/>
          <w:b/>
          <w:sz w:val="24"/>
          <w:szCs w:val="24"/>
          <w:lang w:val="fr-FR"/>
        </w:rPr>
        <w:t xml:space="preserve"> relatifs au rapport du commissaire</w:t>
      </w:r>
    </w:p>
    <w:p w14:paraId="249CEF58" w14:textId="77777777" w:rsidR="00365CDB" w:rsidRDefault="00365CDB" w:rsidP="00767B68">
      <w:pPr>
        <w:numPr>
          <w:ilvl w:val="12"/>
          <w:numId w:val="0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249CEF59" w14:textId="1B796564" w:rsidR="00146E2A" w:rsidRDefault="00146E2A" w:rsidP="00767B6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fr-FR"/>
        </w:rPr>
        <w:t>AVERTISSEMENT</w:t>
      </w:r>
      <w:r w:rsidR="00E54FB7">
        <w:rPr>
          <w:rFonts w:ascii="Times New Roman" w:eastAsia="Calibri" w:hAnsi="Times New Roman" w:cs="Times New Roman"/>
          <w:sz w:val="24"/>
          <w:szCs w:val="24"/>
          <w:u w:val="single"/>
          <w:lang w:val="fr-FR"/>
        </w:rPr>
        <w:t>S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fr-FR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: Dans </w:t>
      </w:r>
      <w:r w:rsidR="00210C1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la doctrine reprise 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ci-après, il est </w:t>
      </w:r>
      <w:r w:rsidR="00210C12">
        <w:rPr>
          <w:rFonts w:ascii="Times New Roman" w:eastAsia="Calibri" w:hAnsi="Times New Roman" w:cs="Times New Roman"/>
          <w:sz w:val="24"/>
          <w:szCs w:val="24"/>
          <w:lang w:val="fr-FR"/>
        </w:rPr>
        <w:t>des fois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fait référence aux </w:t>
      </w:r>
      <w:r w:rsidR="00F474C6">
        <w:rPr>
          <w:rFonts w:ascii="Times New Roman" w:eastAsia="Calibri" w:hAnsi="Times New Roman" w:cs="Times New Roman"/>
          <w:sz w:val="24"/>
          <w:szCs w:val="24"/>
          <w:lang w:val="fr-FR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ormes générales de révisio</w:t>
      </w:r>
      <w:r w:rsidR="00D914E0">
        <w:rPr>
          <w:rFonts w:ascii="Times New Roman" w:eastAsia="Calibri" w:hAnsi="Times New Roman" w:cs="Times New Roman"/>
          <w:sz w:val="24"/>
          <w:szCs w:val="24"/>
          <w:lang w:val="fr-FR"/>
        </w:rPr>
        <w:t>n. Etant donné que celles-ci s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ont abrogées à partir de la double date d</w:t>
      </w:r>
      <w:r w:rsidR="001E138C">
        <w:rPr>
          <w:rFonts w:ascii="Times New Roman" w:eastAsia="Calibri" w:hAnsi="Times New Roman" w:cs="Times New Roman"/>
          <w:sz w:val="24"/>
          <w:szCs w:val="24"/>
          <w:lang w:val="fr-FR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application des normes ISA en </w:t>
      </w:r>
      <w:r w:rsidR="00F474C6">
        <w:rPr>
          <w:rFonts w:ascii="Times New Roman" w:eastAsia="Calibri" w:hAnsi="Times New Roman" w:cs="Times New Roman"/>
          <w:sz w:val="24"/>
          <w:szCs w:val="24"/>
          <w:lang w:val="fr-FR"/>
        </w:rPr>
        <w:t>Belgique (2012 respectivement</w:t>
      </w:r>
      <w:r w:rsidR="001E138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2014)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, le lecteur utilisera cette doctrine avec discernement, en fonction des circonstances, ainsi qu</w:t>
      </w:r>
      <w:r w:rsidR="001E138C">
        <w:rPr>
          <w:rFonts w:ascii="Times New Roman" w:eastAsia="Calibri" w:hAnsi="Times New Roman" w:cs="Times New Roman"/>
          <w:sz w:val="24"/>
          <w:szCs w:val="24"/>
          <w:lang w:val="fr-FR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en tenant compte des normes ISA applicables en Belgique et de la norme complémentaire aux normes ISA applicables en Belgique.</w:t>
      </w:r>
    </w:p>
    <w:p w14:paraId="249CEF5A" w14:textId="3EB1BB71" w:rsidR="00E54FB7" w:rsidRPr="00E54FB7" w:rsidRDefault="00E54FB7" w:rsidP="00767B6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9F519F">
        <w:rPr>
          <w:rFonts w:ascii="Times New Roman" w:eastAsia="Calibri" w:hAnsi="Times New Roman" w:cs="Times New Roman"/>
          <w:sz w:val="24"/>
          <w:szCs w:val="24"/>
          <w:lang w:val="fr-BE"/>
        </w:rPr>
        <w:t>L’IRE analyse</w:t>
      </w:r>
      <w:r w:rsidR="00E401A0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actuellement</w:t>
      </w:r>
      <w:r w:rsidRPr="009F519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les avis, circulaires et communications dans le contexte de la nouvelle législation et examine si ceux-ci doivent être adaptés.</w:t>
      </w:r>
    </w:p>
    <w:p w14:paraId="249CEF5C" w14:textId="77777777" w:rsidR="00D914E0" w:rsidRDefault="00D914E0" w:rsidP="00D914E0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b/>
          <w:sz w:val="24"/>
          <w:szCs w:val="24"/>
          <w:lang w:val="fr-BE"/>
        </w:rPr>
        <w:t>Avis, circulaires et communications émis par l</w:t>
      </w:r>
      <w:r w:rsidR="001E138C">
        <w:rPr>
          <w:rFonts w:ascii="Times New Roman" w:eastAsia="Calibri" w:hAnsi="Times New Roman" w:cs="Times New Roman"/>
          <w:b/>
          <w:sz w:val="24"/>
          <w:szCs w:val="24"/>
          <w:lang w:val="fr-BE"/>
        </w:rPr>
        <w:t>’</w:t>
      </w:r>
      <w:r w:rsidRPr="00365CDB">
        <w:rPr>
          <w:rFonts w:ascii="Times New Roman" w:eastAsia="Calibri" w:hAnsi="Times New Roman" w:cs="Times New Roman"/>
          <w:b/>
          <w:sz w:val="24"/>
          <w:szCs w:val="24"/>
          <w:lang w:val="fr-BE"/>
        </w:rPr>
        <w:t>IRE relatifs au rapport du commissaire</w:t>
      </w:r>
      <w:r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(</w:t>
      </w:r>
      <w:r w:rsidRPr="00F474C6">
        <w:rPr>
          <w:rFonts w:ascii="Times New Roman" w:eastAsia="Calibri" w:hAnsi="Times New Roman" w:cs="Times New Roman"/>
          <w:sz w:val="24"/>
          <w:szCs w:val="24"/>
          <w:u w:val="single"/>
          <w:lang w:val="fr-BE"/>
        </w:rPr>
        <w:t>www.ibr-ire.be</w:t>
      </w:r>
      <w:r w:rsidRPr="00F474C6">
        <w:rPr>
          <w:rFonts w:ascii="Times New Roman" w:eastAsia="Calibri" w:hAnsi="Times New Roman" w:cs="Times New Roman"/>
          <w:sz w:val="24"/>
          <w:szCs w:val="24"/>
          <w:lang w:val="fr-BE"/>
        </w:rPr>
        <w:t>)</w:t>
      </w:r>
    </w:p>
    <w:p w14:paraId="249CEF5D" w14:textId="77777777" w:rsidR="00D914E0" w:rsidRPr="00365CDB" w:rsidRDefault="00D914E0" w:rsidP="00D914E0">
      <w:pPr>
        <w:pStyle w:val="ListParagraph"/>
        <w:spacing w:after="0"/>
        <w:ind w:left="714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7FA7CA4E" w14:textId="664FAFED" w:rsidR="006E005D" w:rsidRDefault="006E005D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E005D">
        <w:rPr>
          <w:rFonts w:ascii="Times New Roman" w:eastAsia="Calibri" w:hAnsi="Times New Roman" w:cs="Times New Roman"/>
          <w:sz w:val="24"/>
          <w:szCs w:val="24"/>
          <w:lang w:val="fr-BE"/>
        </w:rPr>
        <w:t>Avis 2021/03 : Sociétés contrôlées par les pouvoirs publics – Nouvelle obligation relative à la publication d’un rapport de rémunération – remplacement de l’avis 2018/01</w:t>
      </w:r>
    </w:p>
    <w:p w14:paraId="1A1D01B9" w14:textId="77777777" w:rsidR="006E005D" w:rsidRDefault="006E005D" w:rsidP="006E005D">
      <w:pPr>
        <w:pStyle w:val="ListParagraph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153E7BBD" w14:textId="161A07BE" w:rsidR="00DB6AF2" w:rsidRDefault="00DB6AF2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DB6AF2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2020/03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du 8 décembre 2020 relatif à</w:t>
      </w:r>
      <w:r w:rsidRPr="00DB6AF2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l’i</w:t>
      </w:r>
      <w:r w:rsidRPr="00DB6AF2">
        <w:rPr>
          <w:rFonts w:ascii="Times New Roman" w:eastAsia="Calibri" w:hAnsi="Times New Roman" w:cs="Times New Roman"/>
          <w:sz w:val="24"/>
          <w:szCs w:val="24"/>
          <w:lang w:val="fr-BE"/>
        </w:rPr>
        <w:t>mpact du COVID-19 sur l'audit de l'exercice 2020 - points clés</w:t>
      </w:r>
    </w:p>
    <w:p w14:paraId="1E1E1FC1" w14:textId="77777777" w:rsidR="00DB6AF2" w:rsidRDefault="00DB6AF2" w:rsidP="00EC75D2">
      <w:pPr>
        <w:pStyle w:val="ListParagraph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5E" w14:textId="12CE73D5" w:rsidR="00450164" w:rsidRDefault="00450164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2019/15 du 18 décembre 2019</w:t>
      </w:r>
      <w:r w:rsidR="00393477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relatif </w:t>
      </w:r>
      <w:r w:rsidR="000928E5">
        <w:rPr>
          <w:rFonts w:ascii="Times New Roman" w:eastAsia="Calibri" w:hAnsi="Times New Roman" w:cs="Times New Roman"/>
          <w:sz w:val="24"/>
          <w:szCs w:val="24"/>
          <w:lang w:val="fr-BE"/>
        </w:rPr>
        <w:t>à l’o</w:t>
      </w:r>
      <w:r w:rsidR="000928E5" w:rsidRPr="000928E5">
        <w:rPr>
          <w:rFonts w:ascii="Times New Roman" w:eastAsia="Calibri" w:hAnsi="Times New Roman" w:cs="Times New Roman"/>
          <w:sz w:val="24"/>
          <w:szCs w:val="24"/>
          <w:lang w:val="fr-BE"/>
        </w:rPr>
        <w:t>bligation de rédiger un rapport de gestion dans les grandes A(I)SBL et Fondations - rapport du commissaire y relatif</w:t>
      </w:r>
    </w:p>
    <w:p w14:paraId="249CEF5F" w14:textId="77777777" w:rsidR="000928E5" w:rsidRDefault="000928E5" w:rsidP="00EC75D2">
      <w:pPr>
        <w:pStyle w:val="ListParagraph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60" w14:textId="77777777" w:rsidR="00450164" w:rsidRDefault="00450164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2019/14 du 16 décembre 2019</w:t>
      </w:r>
      <w:r w:rsidR="000928E5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relatif aux r</w:t>
      </w:r>
      <w:r w:rsidR="000928E5" w:rsidRPr="000928E5">
        <w:rPr>
          <w:rFonts w:ascii="Times New Roman" w:eastAsia="Calibri" w:hAnsi="Times New Roman" w:cs="Times New Roman"/>
          <w:sz w:val="24"/>
          <w:szCs w:val="24"/>
          <w:lang w:val="fr-BE"/>
        </w:rPr>
        <w:t>apports de commissaire émis à partir du 1er janvier 2020 (régime transitoire)</w:t>
      </w:r>
    </w:p>
    <w:p w14:paraId="249CEF61" w14:textId="77777777" w:rsidR="000928E5" w:rsidRPr="000928E5" w:rsidRDefault="000928E5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62" w14:textId="77777777" w:rsidR="000928E5" w:rsidRDefault="00450164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2019/10 du 9 avril 2019 </w:t>
      </w:r>
      <w:r w:rsidR="000928E5">
        <w:rPr>
          <w:rFonts w:ascii="Times New Roman" w:eastAsia="Calibri" w:hAnsi="Times New Roman" w:cs="Times New Roman"/>
          <w:sz w:val="24"/>
          <w:szCs w:val="24"/>
          <w:lang w:val="fr-BE"/>
        </w:rPr>
        <w:t>relatif à l’</w:t>
      </w:r>
      <w:r w:rsidR="000928E5" w:rsidRPr="00ED6CB0">
        <w:rPr>
          <w:lang w:val="fr-FR"/>
        </w:rPr>
        <w:t>i</w:t>
      </w:r>
      <w:r w:rsidR="000928E5" w:rsidRPr="000928E5">
        <w:rPr>
          <w:rFonts w:ascii="Times New Roman" w:eastAsia="Calibri" w:hAnsi="Times New Roman" w:cs="Times New Roman"/>
          <w:sz w:val="24"/>
          <w:szCs w:val="24"/>
          <w:lang w:val="fr-BE"/>
        </w:rPr>
        <w:t>nterruption du mandat de commissaire</w:t>
      </w:r>
    </w:p>
    <w:p w14:paraId="249CEF63" w14:textId="77777777" w:rsidR="000928E5" w:rsidRPr="000928E5" w:rsidRDefault="000928E5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64" w14:textId="77777777" w:rsidR="003D34D0" w:rsidRDefault="003D34D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2019/09 du 28 mars 2019 relatif au remplacement de la Circulaire D021/10 relative à la date de la lettre d’affirmation</w:t>
      </w:r>
    </w:p>
    <w:p w14:paraId="249CEF65" w14:textId="77777777" w:rsidR="003D34D0" w:rsidRDefault="003D34D0" w:rsidP="00EC75D2">
      <w:pPr>
        <w:pStyle w:val="ListParagraph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66" w14:textId="77777777" w:rsidR="003D34D0" w:rsidRDefault="003D34D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2019/06 du 15 mars 2019 relatif à l’application non automatique de l’art. 138 C. Soc. en cas de diminution de l’actif net à moins de la moitié du capital</w:t>
      </w:r>
    </w:p>
    <w:p w14:paraId="249CEF67" w14:textId="77777777" w:rsidR="003D34D0" w:rsidRPr="00450164" w:rsidRDefault="003D34D0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68" w14:textId="77777777" w:rsidR="003D34D0" w:rsidRDefault="003D34D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2019/03 du 15 février 2019 relatif à l’impact du Brexit sur le rapport du commissaire</w:t>
      </w:r>
    </w:p>
    <w:p w14:paraId="249CEF69" w14:textId="77777777" w:rsidR="003D34D0" w:rsidRPr="00450164" w:rsidRDefault="003D34D0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6A" w14:textId="77777777" w:rsidR="003D34D0" w:rsidRDefault="003D34D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2019/02 du 31 janvier 2019 relatif à la vérification du registre UBO – mission du commissaire et impact sur le rapport du commissaire</w:t>
      </w:r>
    </w:p>
    <w:p w14:paraId="249CEF6B" w14:textId="77777777" w:rsidR="003D34D0" w:rsidRPr="00450164" w:rsidRDefault="003D34D0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6E" w14:textId="77777777" w:rsidR="00F2489C" w:rsidRDefault="00F2489C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2017/06 </w:t>
      </w:r>
      <w:r w:rsidR="005B706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du 6 octobre 2017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relatif au </w:t>
      </w:r>
      <w:r w:rsidRPr="00F2489C">
        <w:rPr>
          <w:rFonts w:ascii="Times New Roman" w:eastAsia="Calibri" w:hAnsi="Times New Roman" w:cs="Times New Roman"/>
          <w:sz w:val="24"/>
          <w:szCs w:val="24"/>
          <w:lang w:val="fr-BE"/>
        </w:rPr>
        <w:t>projet de norme relative à l'application des normes ISA (la nouvelle et les révisées) en Belgique - état des lieux et retrait de l'avis 2017/03</w:t>
      </w:r>
    </w:p>
    <w:p w14:paraId="249CEF6F" w14:textId="77777777" w:rsidR="00F2489C" w:rsidRDefault="00F2489C" w:rsidP="00EC75D2">
      <w:pPr>
        <w:pStyle w:val="ListParagraph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70" w14:textId="77777777" w:rsidR="00F2489C" w:rsidRDefault="00F2489C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2017/04 du 8 septembre 2017 relatif au r</w:t>
      </w:r>
      <w:r w:rsidRPr="00F2489C">
        <w:rPr>
          <w:rFonts w:ascii="Times New Roman" w:eastAsia="Calibri" w:hAnsi="Times New Roman" w:cs="Times New Roman"/>
          <w:sz w:val="24"/>
          <w:szCs w:val="24"/>
          <w:lang w:val="fr-BE"/>
        </w:rPr>
        <w:t>apport du commissaire - Portée de la déclaration sur d’éventuelles incertitudes significatives liées à des événements ou à des circonstances qui peuvent jeter un doute important sur la capacité de la société à poursuivre son exploitation (art. 144, §1, 7° C. Soc.)</w:t>
      </w:r>
    </w:p>
    <w:p w14:paraId="249CEF71" w14:textId="77777777" w:rsidR="00F2489C" w:rsidRDefault="00F2489C" w:rsidP="00EC75D2">
      <w:pPr>
        <w:pStyle w:val="ListParagraph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72" w14:textId="77777777" w:rsidR="008161A0" w:rsidRDefault="008161A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2017/02 du 2 mars 2017 relatif aux r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ègles applicables au rapport de commissaire relatif à l'exercice 2016</w:t>
      </w:r>
    </w:p>
    <w:p w14:paraId="249CEF73" w14:textId="77777777" w:rsidR="008161A0" w:rsidRDefault="008161A0" w:rsidP="00EC75D2">
      <w:pPr>
        <w:pStyle w:val="ListParagraph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74" w14:textId="77777777" w:rsidR="008161A0" w:rsidRDefault="008161A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2017/01 du 19 janvier 2017 relatif au r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apport du commissaire</w:t>
      </w:r>
    </w:p>
    <w:p w14:paraId="249CEF75" w14:textId="77777777" w:rsidR="008161A0" w:rsidRDefault="008161A0" w:rsidP="00EC75D2">
      <w:pPr>
        <w:pStyle w:val="ListParagraph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78" w14:textId="77777777" w:rsidR="00D914E0" w:rsidRDefault="00D914E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Avis du 5 mars 2010, modifié le 29 octobre 2010, relatif à la mission du commissaire concernant le nouvel état XVIIIbis de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annexe aux comptes annuels</w:t>
      </w:r>
    </w:p>
    <w:p w14:paraId="249CEF79" w14:textId="77777777" w:rsidR="00D914E0" w:rsidRDefault="00D914E0" w:rsidP="00EC75D2">
      <w:pPr>
        <w:pStyle w:val="ListParagraph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7A" w14:textId="77777777" w:rsidR="00D914E0" w:rsidRDefault="00D914E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</w:t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vis du 20 juillet 2010 relatif au cadre normatif actuel et futur de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IRE</w:t>
      </w:r>
    </w:p>
    <w:p w14:paraId="249CEF7D" w14:textId="77777777" w:rsidR="008161A0" w:rsidRDefault="008161A0" w:rsidP="00EC75D2">
      <w:pPr>
        <w:pStyle w:val="ListParagraph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7E" w14:textId="77777777" w:rsidR="00D914E0" w:rsidRDefault="00D914E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Circulaire 2013/05 du 16 avril 2013 relative à</w:t>
      </w:r>
      <w:r w:rsidRPr="00DA2EF8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a</w:t>
      </w:r>
      <w:r w:rsidRPr="00DA2EF8">
        <w:rPr>
          <w:rFonts w:ascii="Times New Roman" w:eastAsia="Calibri" w:hAnsi="Times New Roman" w:cs="Times New Roman"/>
          <w:sz w:val="24"/>
          <w:szCs w:val="24"/>
          <w:lang w:val="fr-BE"/>
        </w:rPr>
        <w:t>pplication des normes ISA proportionnellement à la taille et à la complexité de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A2EF8">
        <w:rPr>
          <w:rFonts w:ascii="Times New Roman" w:eastAsia="Calibri" w:hAnsi="Times New Roman" w:cs="Times New Roman"/>
          <w:sz w:val="24"/>
          <w:szCs w:val="24"/>
          <w:lang w:val="fr-BE"/>
        </w:rPr>
        <w:t>entité (</w:t>
      </w:r>
      <w:r w:rsidR="00F474C6">
        <w:rPr>
          <w:rFonts w:ascii="Times New Roman" w:eastAsia="Calibri" w:hAnsi="Times New Roman" w:cs="Times New Roman"/>
          <w:sz w:val="24"/>
          <w:szCs w:val="24"/>
          <w:lang w:val="fr-BE"/>
        </w:rPr>
        <w:t>« </w:t>
      </w:r>
      <w:r w:rsidRPr="00F474C6">
        <w:rPr>
          <w:rFonts w:ascii="Times New Roman" w:eastAsia="Calibri" w:hAnsi="Times New Roman" w:cs="Times New Roman"/>
          <w:i/>
          <w:sz w:val="24"/>
          <w:szCs w:val="24"/>
          <w:lang w:val="fr-BE"/>
        </w:rPr>
        <w:t>scalability</w:t>
      </w:r>
      <w:r w:rsidR="00F474C6">
        <w:rPr>
          <w:rFonts w:ascii="Times New Roman" w:eastAsia="Calibri" w:hAnsi="Times New Roman" w:cs="Times New Roman"/>
          <w:sz w:val="24"/>
          <w:szCs w:val="24"/>
          <w:lang w:val="fr-BE"/>
        </w:rPr>
        <w:t> »</w:t>
      </w:r>
      <w:r w:rsidRPr="00DA2EF8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des normes ISA)</w:t>
      </w:r>
    </w:p>
    <w:p w14:paraId="249CEF7F" w14:textId="77777777" w:rsidR="00D914E0" w:rsidRPr="003F4C5D" w:rsidRDefault="00D914E0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07076D79" w14:textId="09995FD3" w:rsidR="001F7F07" w:rsidRDefault="001F7F07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1F7F07">
        <w:rPr>
          <w:rFonts w:ascii="Times New Roman" w:eastAsia="Calibri" w:hAnsi="Times New Roman" w:cs="Times New Roman"/>
          <w:sz w:val="24"/>
          <w:szCs w:val="24"/>
          <w:lang w:val="fr-BE"/>
        </w:rPr>
        <w:t>Communication 2020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/</w:t>
      </w:r>
      <w:r w:rsidRPr="001F7F07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23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du 1</w:t>
      </w:r>
      <w:r w:rsidRPr="001F7F07">
        <w:rPr>
          <w:rFonts w:ascii="Times New Roman" w:eastAsia="Calibri" w:hAnsi="Times New Roman" w:cs="Times New Roman"/>
          <w:sz w:val="24"/>
          <w:szCs w:val="24"/>
          <w:vertAlign w:val="superscript"/>
          <w:lang w:val="fr-BE"/>
        </w:rPr>
        <w:t>er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décembre 2020 relative à la c</w:t>
      </w:r>
      <w:r w:rsidRPr="001F7F07">
        <w:rPr>
          <w:rFonts w:ascii="Times New Roman" w:eastAsia="Calibri" w:hAnsi="Times New Roman" w:cs="Times New Roman"/>
          <w:sz w:val="24"/>
          <w:szCs w:val="24"/>
          <w:lang w:val="fr-BE"/>
        </w:rPr>
        <w:t>onsultation publique sur les projets de normes test d'actif net et test de liquidité</w:t>
      </w:r>
    </w:p>
    <w:p w14:paraId="42FF7C12" w14:textId="77777777" w:rsidR="001F7F07" w:rsidRPr="001F7F07" w:rsidRDefault="001F7F07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7934C700" w14:textId="7CF52D82" w:rsidR="00CE0289" w:rsidRDefault="00E9715D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2020/15 </w:t>
      </w:r>
      <w:r w:rsidR="00E666D3">
        <w:rPr>
          <w:rFonts w:ascii="Times New Roman" w:eastAsia="Calibri" w:hAnsi="Times New Roman" w:cs="Times New Roman"/>
          <w:sz w:val="24"/>
          <w:szCs w:val="24"/>
          <w:lang w:val="fr-BE"/>
        </w:rPr>
        <w:t>du 10 juillet 2020 relative à la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</w:t>
      </w:r>
      <w:r w:rsidR="00E666D3">
        <w:rPr>
          <w:rFonts w:ascii="Times New Roman" w:eastAsia="Calibri" w:hAnsi="Times New Roman" w:cs="Times New Roman"/>
          <w:sz w:val="24"/>
          <w:szCs w:val="24"/>
          <w:lang w:val="fr-BE"/>
        </w:rPr>
        <w:t>c</w:t>
      </w:r>
      <w:r w:rsidRPr="00E9715D">
        <w:rPr>
          <w:rFonts w:ascii="Times New Roman" w:eastAsia="Calibri" w:hAnsi="Times New Roman" w:cs="Times New Roman"/>
          <w:sz w:val="24"/>
          <w:szCs w:val="24"/>
          <w:lang w:val="fr-BE"/>
        </w:rPr>
        <w:t>onsultation publique   sur   le   projet   de   norme   complémentaire   (version  révisée  2020)  aux  normes  ISA  applicables  en  Belgique  –adaptation au Code des sociétés et des associations (délai : 15 août 2020)</w:t>
      </w:r>
    </w:p>
    <w:p w14:paraId="78C334A5" w14:textId="77777777" w:rsidR="00CE0289" w:rsidRPr="00CE0289" w:rsidRDefault="00CE0289" w:rsidP="00CE0289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8A" w14:textId="446887F6" w:rsidR="00393477" w:rsidRDefault="00393477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2020/11 du 6 mai 2020 concernant la l</w:t>
      </w:r>
      <w:r w:rsidRPr="00393477">
        <w:rPr>
          <w:rFonts w:ascii="Times New Roman" w:eastAsia="Calibri" w:hAnsi="Times New Roman" w:cs="Times New Roman"/>
          <w:sz w:val="24"/>
          <w:szCs w:val="24"/>
          <w:lang w:val="fr-BE"/>
        </w:rPr>
        <w:t>oi de réparation CSA – rapport de commissaire pour les A(I)SBL et les fondations</w:t>
      </w:r>
    </w:p>
    <w:p w14:paraId="249CEF8B" w14:textId="77777777" w:rsidR="00393477" w:rsidRPr="00393477" w:rsidRDefault="00393477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8C" w14:textId="77777777" w:rsidR="00393477" w:rsidRDefault="00393477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2019/09 du 17 avril 2019 concernant l</w:t>
      </w:r>
      <w:r w:rsidRPr="00393477">
        <w:rPr>
          <w:rFonts w:ascii="Times New Roman" w:eastAsia="Calibri" w:hAnsi="Times New Roman" w:cs="Times New Roman"/>
          <w:sz w:val="24"/>
          <w:szCs w:val="24"/>
          <w:lang w:val="fr-BE"/>
        </w:rPr>
        <w:t>a loi du 23 mars 2019 introduisant le Code des sociétés et des associations et portant des dispositions diverses</w:t>
      </w:r>
    </w:p>
    <w:p w14:paraId="249CEF8D" w14:textId="77777777" w:rsidR="00393477" w:rsidRPr="00393477" w:rsidRDefault="00393477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8E" w14:textId="77777777" w:rsidR="003D34D0" w:rsidRDefault="003D34D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2019/07 du 29 mars 2019</w:t>
      </w:r>
      <w:r w:rsidR="00B70A77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relative à l’abrogation de la Circulaire 2011/03</w:t>
      </w:r>
    </w:p>
    <w:p w14:paraId="249CEF8F" w14:textId="77777777" w:rsidR="003D34D0" w:rsidRPr="00450164" w:rsidRDefault="003D34D0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90" w14:textId="77777777" w:rsidR="003D34D0" w:rsidRDefault="003D34D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2019/06 du 26 mars 2019</w:t>
      </w:r>
      <w:r w:rsidR="00B70A77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relative à l’approbation par le ministre de l’Economie des deux normes relatives à l’application des normes ISA en Belgique</w:t>
      </w:r>
    </w:p>
    <w:p w14:paraId="249CEF91" w14:textId="77777777" w:rsidR="003D34D0" w:rsidRPr="00450164" w:rsidRDefault="003D34D0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92" w14:textId="77777777" w:rsidR="003D34D0" w:rsidRDefault="003D34D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2018/20 du 30 octobre 2018</w:t>
      </w:r>
      <w:r w:rsidR="00B70A77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relative à l’Arrêté royal du 30 juillet 2018 relatif aux modalités de fonctionnement du registre UBO</w:t>
      </w:r>
    </w:p>
    <w:p w14:paraId="249CEF93" w14:textId="77777777" w:rsidR="003D34D0" w:rsidRPr="00450164" w:rsidRDefault="003D34D0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94" w14:textId="77777777" w:rsidR="003D34D0" w:rsidRDefault="003D34D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2018/11 du 27 juin 2018</w:t>
      </w:r>
      <w:r w:rsidR="00B70A77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relative à la question et réponse parlementaires relatives au champ d’application de l’exemption concernant la déclaration non financière</w:t>
      </w:r>
    </w:p>
    <w:p w14:paraId="249CEF95" w14:textId="77777777" w:rsidR="003D34D0" w:rsidRPr="00450164" w:rsidRDefault="003D34D0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96" w14:textId="77777777" w:rsidR="00F2489C" w:rsidRDefault="00F2489C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Communication 2018/01 </w:t>
      </w:r>
      <w:r w:rsidR="005B706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du 5 février 2018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relative à la c</w:t>
      </w:r>
      <w:r w:rsidRPr="00F2489C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onsultation publique sur le nouveau projet de norme complémentaire (révisée en 2018) aux normes </w:t>
      </w:r>
      <w:r w:rsidRPr="00F2489C">
        <w:rPr>
          <w:rFonts w:ascii="Times New Roman" w:eastAsia="Calibri" w:hAnsi="Times New Roman" w:cs="Times New Roman"/>
          <w:sz w:val="24"/>
          <w:szCs w:val="24"/>
          <w:lang w:val="fr-BE"/>
        </w:rPr>
        <w:lastRenderedPageBreak/>
        <w:t>internationales d’audit (ISA) applicables en Belgique – Le rapport du commissaire dans le cadre d’un contrôle légal de comptes annuels ou consolidés et autres aspects relatifs à la mission du commissaire (délai : 5 mars 2018)</w:t>
      </w:r>
    </w:p>
    <w:p w14:paraId="249CEF97" w14:textId="77777777" w:rsidR="00F2489C" w:rsidRPr="00F2489C" w:rsidRDefault="00F2489C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98" w14:textId="77777777" w:rsidR="00F2489C" w:rsidRDefault="00F2489C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Communication 2017/17 </w:t>
      </w:r>
      <w:r w:rsidR="005B706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du 21 décembre 2017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relative à la c</w:t>
      </w:r>
      <w:r w:rsidRPr="00F2489C">
        <w:rPr>
          <w:rFonts w:ascii="Times New Roman" w:eastAsia="Calibri" w:hAnsi="Times New Roman" w:cs="Times New Roman"/>
          <w:sz w:val="24"/>
          <w:szCs w:val="24"/>
          <w:lang w:val="fr-BE"/>
        </w:rPr>
        <w:t>onsultation publique sur le nouveau projet de norme modifiant la norme du 10 novembre 2009 relative à l'application des normes ISA en Belgique (délai : 25 janvier 2018)</w:t>
      </w:r>
    </w:p>
    <w:p w14:paraId="249CEF99" w14:textId="77777777" w:rsidR="00F2489C" w:rsidRPr="00F2489C" w:rsidRDefault="00F2489C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9A" w14:textId="77777777" w:rsidR="00F2489C" w:rsidRDefault="00F2489C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Communication 2017/13 </w:t>
      </w:r>
      <w:r w:rsidR="005B706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du 14 décembre 2017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relative à la note </w:t>
      </w:r>
      <w:r w:rsidRPr="00F2489C">
        <w:rPr>
          <w:rFonts w:ascii="Times New Roman" w:eastAsia="Calibri" w:hAnsi="Times New Roman" w:cs="Times New Roman"/>
          <w:sz w:val="24"/>
          <w:szCs w:val="24"/>
          <w:lang w:val="fr-BE"/>
        </w:rPr>
        <w:t>technique - Synthèse de la démarche d'audit dans des entités non complexes</w:t>
      </w:r>
    </w:p>
    <w:p w14:paraId="249CEF9B" w14:textId="77777777" w:rsidR="00F2489C" w:rsidRPr="00F2489C" w:rsidRDefault="00F2489C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9C" w14:textId="77777777" w:rsidR="008161A0" w:rsidRDefault="008161A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Communication 2017/06 </w:t>
      </w:r>
      <w:r w:rsidR="005B706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du 28 mars 2017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relative au r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apport du commissaire dans les associations et fondations</w:t>
      </w:r>
    </w:p>
    <w:p w14:paraId="249CEF9D" w14:textId="77777777" w:rsidR="008161A0" w:rsidRDefault="008161A0" w:rsidP="00EC75D2">
      <w:pPr>
        <w:pStyle w:val="ListParagraph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9E" w14:textId="77777777" w:rsidR="008161A0" w:rsidRDefault="008161A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2016/11 du 8 novembre 2016 relative aux p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ublications sur le site de l’ICCI : Normes ISA applicables aux petites entités – Mise à jour du Pack PE-KE et des checklis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ts ISA - Lettres d’affirmation</w:t>
      </w:r>
    </w:p>
    <w:p w14:paraId="249CEF9F" w14:textId="77777777" w:rsidR="008161A0" w:rsidRDefault="008161A0" w:rsidP="00EC75D2">
      <w:pPr>
        <w:pStyle w:val="ListParagraph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A0" w14:textId="77777777" w:rsidR="008161A0" w:rsidRDefault="008161A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2014/10 du 29 octobre 2014 relative à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(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)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la v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érification du bilan social par le réviseur d'entreprises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et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(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) le r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apport d'analyse sur la structure de la rémunération des travailleurs (AR et AM du 25 avril 2014)</w:t>
      </w:r>
    </w:p>
    <w:p w14:paraId="249CEFA1" w14:textId="77777777" w:rsidR="008161A0" w:rsidRDefault="008161A0" w:rsidP="00EC75D2">
      <w:pPr>
        <w:pStyle w:val="ListParagraph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A2" w14:textId="77777777" w:rsidR="00D914E0" w:rsidRDefault="00D914E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2012/07 du 9 mai 2012 relative à la d</w:t>
      </w:r>
      <w:r w:rsidRPr="00DA2EF8">
        <w:rPr>
          <w:rFonts w:ascii="Times New Roman" w:eastAsia="Calibri" w:hAnsi="Times New Roman" w:cs="Times New Roman"/>
          <w:sz w:val="24"/>
          <w:szCs w:val="24"/>
          <w:lang w:val="fr-BE"/>
        </w:rPr>
        <w:t>escription des principales caractéristiques des systèmes de contrôle interne et de gestion des risques</w:t>
      </w:r>
    </w:p>
    <w:p w14:paraId="249CEFA3" w14:textId="77777777" w:rsidR="00D914E0" w:rsidRPr="003F4C5D" w:rsidRDefault="00D914E0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A4" w14:textId="77777777" w:rsidR="00D914E0" w:rsidRPr="00D914E0" w:rsidRDefault="00D914E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D914E0">
        <w:rPr>
          <w:rFonts w:ascii="Times New Roman" w:eastAsia="Calibri" w:hAnsi="Times New Roman" w:cs="Times New Roman"/>
          <w:sz w:val="24"/>
          <w:szCs w:val="24"/>
          <w:lang w:val="fr-BE"/>
        </w:rPr>
        <w:t>Communication 2011/18 du 29 décembre 2011 au sujet de la loi du 20 décembre 2010 concernant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914E0">
        <w:rPr>
          <w:rFonts w:ascii="Times New Roman" w:eastAsia="Calibri" w:hAnsi="Times New Roman" w:cs="Times New Roman"/>
          <w:sz w:val="24"/>
          <w:szCs w:val="24"/>
          <w:lang w:val="fr-BE"/>
        </w:rPr>
        <w:t>exercice de certains droits des actionnaires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e sociétés cotées – impact sur l</w:t>
      </w:r>
      <w:r w:rsidRPr="00D914E0">
        <w:rPr>
          <w:rFonts w:ascii="Times New Roman" w:eastAsia="Calibri" w:hAnsi="Times New Roman" w:cs="Times New Roman"/>
          <w:sz w:val="24"/>
          <w:szCs w:val="24"/>
          <w:lang w:val="fr-BE"/>
        </w:rPr>
        <w:t>a fonction du commissaire, ayant ses effets les plus importants au 1</w:t>
      </w:r>
      <w:r w:rsidR="001E138C" w:rsidRPr="001E138C">
        <w:rPr>
          <w:rFonts w:ascii="Times New Roman" w:eastAsia="Calibri" w:hAnsi="Times New Roman" w:cs="Times New Roman"/>
          <w:sz w:val="24"/>
          <w:szCs w:val="24"/>
          <w:vertAlign w:val="superscript"/>
          <w:lang w:val="fr-BE"/>
        </w:rPr>
        <w:t>er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</w:t>
      </w:r>
      <w:r w:rsidRPr="00D914E0">
        <w:rPr>
          <w:rFonts w:ascii="Times New Roman" w:eastAsia="Calibri" w:hAnsi="Times New Roman" w:cs="Times New Roman"/>
          <w:sz w:val="24"/>
          <w:szCs w:val="24"/>
          <w:lang w:val="fr-BE"/>
        </w:rPr>
        <w:t>janvier 2012 (</w:t>
      </w:r>
      <w:r w:rsidRPr="00D914E0">
        <w:rPr>
          <w:rFonts w:ascii="Times New Roman" w:eastAsia="Calibri" w:hAnsi="Times New Roman" w:cs="Times New Roman"/>
          <w:i/>
          <w:sz w:val="24"/>
          <w:szCs w:val="24"/>
          <w:lang w:val="fr-BE"/>
        </w:rPr>
        <w:t>La remise des pièces au commissaire, la remise par lui de son rapport et la prorogation de l</w:t>
      </w:r>
      <w:r w:rsidR="001E138C">
        <w:rPr>
          <w:rFonts w:ascii="Times New Roman" w:eastAsia="Calibri" w:hAnsi="Times New Roman" w:cs="Times New Roman"/>
          <w:i/>
          <w:sz w:val="24"/>
          <w:szCs w:val="24"/>
          <w:lang w:val="fr-BE"/>
        </w:rPr>
        <w:t>’</w:t>
      </w:r>
      <w:r w:rsidRPr="00D914E0">
        <w:rPr>
          <w:rFonts w:ascii="Times New Roman" w:eastAsia="Calibri" w:hAnsi="Times New Roman" w:cs="Times New Roman"/>
          <w:i/>
          <w:sz w:val="24"/>
          <w:szCs w:val="24"/>
          <w:lang w:val="fr-BE"/>
        </w:rPr>
        <w:t>assemblée générale</w:t>
      </w:r>
      <w:r w:rsidRPr="00D914E0">
        <w:rPr>
          <w:rFonts w:ascii="Times New Roman" w:eastAsia="Calibri" w:hAnsi="Times New Roman" w:cs="Times New Roman"/>
          <w:sz w:val="24"/>
          <w:szCs w:val="24"/>
          <w:lang w:val="fr-BE"/>
        </w:rPr>
        <w:t>)</w:t>
      </w:r>
    </w:p>
    <w:p w14:paraId="249CEFA5" w14:textId="77777777" w:rsidR="00D914E0" w:rsidRPr="00800C21" w:rsidRDefault="00D914E0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A8" w14:textId="77777777" w:rsidR="00D914E0" w:rsidRDefault="00D914E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</w:t>
      </w:r>
      <w:r w:rsidRPr="00623AAE">
        <w:rPr>
          <w:rFonts w:ascii="Times New Roman" w:eastAsia="Calibri" w:hAnsi="Times New Roman" w:cs="Times New Roman"/>
          <w:sz w:val="24"/>
          <w:szCs w:val="24"/>
          <w:lang w:val="fr-BE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mmunication du 19 juillet 2010 relative</w:t>
      </w:r>
      <w:r w:rsidRPr="00623AAE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à la loi du 6 avril 2010 sur le gouvernement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623AAE">
        <w:rPr>
          <w:rFonts w:ascii="Times New Roman" w:eastAsia="Calibri" w:hAnsi="Times New Roman" w:cs="Times New Roman"/>
          <w:sz w:val="24"/>
          <w:szCs w:val="24"/>
          <w:lang w:val="fr-BE"/>
        </w:rPr>
        <w:t>entreprise dans les sociétés cotées</w:t>
      </w:r>
    </w:p>
    <w:p w14:paraId="249CEFA9" w14:textId="77777777" w:rsidR="00D914E0" w:rsidRPr="002C2444" w:rsidRDefault="00D914E0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AA" w14:textId="77777777" w:rsidR="00D914E0" w:rsidRDefault="00D914E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</w:t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ommunication du 22 janvier 2010 concernant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exercice de la fonction de commissaire dans les organisations non gouvernementales de développement agréées</w:t>
      </w:r>
    </w:p>
    <w:p w14:paraId="249CEFAB" w14:textId="77777777" w:rsidR="00D914E0" w:rsidRPr="00800C21" w:rsidRDefault="00D914E0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AC" w14:textId="77777777" w:rsidR="00D914E0" w:rsidRDefault="00D914E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</w:t>
      </w:r>
      <w:r w:rsidRPr="002B7C98">
        <w:rPr>
          <w:rFonts w:ascii="Times New Roman" w:eastAsia="Calibri" w:hAnsi="Times New Roman" w:cs="Times New Roman"/>
          <w:sz w:val="24"/>
          <w:szCs w:val="24"/>
          <w:lang w:val="fr-BE"/>
        </w:rPr>
        <w:t>ommunication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du 20 février 2009 relative au r</w:t>
      </w:r>
      <w:r w:rsidRPr="002B7C98">
        <w:rPr>
          <w:rFonts w:ascii="Times New Roman" w:eastAsia="Calibri" w:hAnsi="Times New Roman" w:cs="Times New Roman"/>
          <w:sz w:val="24"/>
          <w:szCs w:val="24"/>
          <w:lang w:val="fr-BE"/>
        </w:rPr>
        <w:t>appel de quelques aspects de la mission du commissaire auprès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2B7C98">
        <w:rPr>
          <w:rFonts w:ascii="Times New Roman" w:eastAsia="Calibri" w:hAnsi="Times New Roman" w:cs="Times New Roman"/>
          <w:sz w:val="24"/>
          <w:szCs w:val="24"/>
          <w:lang w:val="fr-BE"/>
        </w:rPr>
        <w:t>une association ou fondation</w:t>
      </w:r>
    </w:p>
    <w:p w14:paraId="249CEFAD" w14:textId="77777777" w:rsidR="00D914E0" w:rsidRPr="002C2444" w:rsidRDefault="00D914E0" w:rsidP="00EC75D2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AE" w14:textId="77777777" w:rsidR="00D914E0" w:rsidRDefault="00D914E0" w:rsidP="00EC75D2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du 31 janvier 2006 relative aux a</w:t>
      </w:r>
      <w:r w:rsidRPr="002B7C98">
        <w:rPr>
          <w:rFonts w:ascii="Times New Roman" w:eastAsia="Calibri" w:hAnsi="Times New Roman" w:cs="Times New Roman"/>
          <w:sz w:val="24"/>
          <w:szCs w:val="24"/>
          <w:lang w:val="fr-BE"/>
        </w:rPr>
        <w:t>rticles 96 et 119 du Code des sociétés (rapport de gestion) et 144 et 148 du Code des sociétés (rapport du commissaire)</w:t>
      </w:r>
    </w:p>
    <w:p w14:paraId="249CEFAF" w14:textId="77777777" w:rsidR="00D914E0" w:rsidRPr="00D914E0" w:rsidRDefault="00D914E0" w:rsidP="00D914E0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B1" w14:textId="77777777" w:rsidR="00365CDB" w:rsidRPr="00365CDB" w:rsidRDefault="00365CDB" w:rsidP="00365CDB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b/>
          <w:sz w:val="24"/>
          <w:szCs w:val="24"/>
          <w:lang w:val="fr-BE"/>
        </w:rPr>
        <w:t>Extrait</w:t>
      </w:r>
      <w:r w:rsidR="00A875CA">
        <w:rPr>
          <w:rFonts w:ascii="Times New Roman" w:eastAsia="Calibri" w:hAnsi="Times New Roman" w:cs="Times New Roman"/>
          <w:b/>
          <w:sz w:val="24"/>
          <w:szCs w:val="24"/>
          <w:lang w:val="fr-BE"/>
        </w:rPr>
        <w:t>s</w:t>
      </w:r>
      <w:r w:rsidRPr="00365CDB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du</w:t>
      </w:r>
      <w:r w:rsidR="001E138C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IRE,</w:t>
      </w:r>
      <w:r w:rsidRPr="00365CDB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</w:t>
      </w:r>
      <w:r w:rsidR="0091234B">
        <w:rPr>
          <w:rFonts w:ascii="Times New Roman" w:eastAsia="Calibri" w:hAnsi="Times New Roman" w:cs="Times New Roman"/>
          <w:b/>
          <w:i/>
          <w:sz w:val="24"/>
          <w:szCs w:val="24"/>
          <w:lang w:val="fr-BE"/>
        </w:rPr>
        <w:t>Vademe</w:t>
      </w:r>
      <w:r w:rsidR="008026D8" w:rsidRPr="00FF2F2E">
        <w:rPr>
          <w:rFonts w:ascii="Times New Roman" w:eastAsia="Calibri" w:hAnsi="Times New Roman" w:cs="Times New Roman"/>
          <w:b/>
          <w:i/>
          <w:sz w:val="24"/>
          <w:szCs w:val="24"/>
          <w:lang w:val="fr-BE"/>
        </w:rPr>
        <w:t>cum</w:t>
      </w:r>
      <w:r w:rsidRPr="00365CDB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2009</w:t>
      </w:r>
      <w:r w:rsidR="00A875CA">
        <w:rPr>
          <w:rFonts w:ascii="Times New Roman" w:eastAsia="Calibri" w:hAnsi="Times New Roman" w:cs="Times New Roman"/>
          <w:b/>
          <w:sz w:val="24"/>
          <w:szCs w:val="24"/>
          <w:lang w:val="fr-BE"/>
        </w:rPr>
        <w:t>,</w:t>
      </w:r>
      <w:r w:rsidRPr="00365CDB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Tome 1</w:t>
      </w:r>
      <w:r w:rsidR="001E138C">
        <w:rPr>
          <w:rFonts w:ascii="Times New Roman" w:eastAsia="Calibri" w:hAnsi="Times New Roman" w:cs="Times New Roman"/>
          <w:b/>
          <w:sz w:val="24"/>
          <w:szCs w:val="24"/>
          <w:lang w:val="fr-BE"/>
        </w:rPr>
        <w:t> : Doctrine</w:t>
      </w:r>
    </w:p>
    <w:p w14:paraId="249CEFB2" w14:textId="77777777" w:rsidR="00365CDB" w:rsidRPr="00365CDB" w:rsidRDefault="00365CDB" w:rsidP="00365CDB">
      <w:pPr>
        <w:numPr>
          <w:ilvl w:val="12"/>
          <w:numId w:val="0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fr-BE"/>
        </w:rPr>
        <w:t>Page</w:t>
      </w:r>
    </w:p>
    <w:p w14:paraId="249CEFB3" w14:textId="77777777" w:rsidR="00365CDB" w:rsidRPr="00365CDB" w:rsidRDefault="00365CDB" w:rsidP="00365CD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Rapport de révision à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occasion de la première année de mandat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  <w:t>599</w:t>
      </w:r>
    </w:p>
    <w:p w14:paraId="249CEFB4" w14:textId="77777777" w:rsidR="00365CDB" w:rsidRP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La société n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a pas fait précédemment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objet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un contrôle </w:t>
      </w:r>
    </w:p>
    <w:p w14:paraId="249CEFB5" w14:textId="77777777" w:rsidR="00365CDB" w:rsidRDefault="001E138C" w:rsidP="00365CDB">
      <w:pPr>
        <w:pStyle w:val="ListParagraph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lastRenderedPageBreak/>
        <w:t>conforme aux normes</w:t>
      </w:r>
    </w:p>
    <w:p w14:paraId="249CEFB6" w14:textId="77777777" w:rsidR="00365CDB" w:rsidRP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La société a fait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objet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une r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évision conforme aux normes</w:t>
      </w:r>
    </w:p>
    <w:p w14:paraId="249CEFB7" w14:textId="77777777" w:rsidR="00365CDB" w:rsidRP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</w:rPr>
        <w:t>Nomination tardive du commissaire</w:t>
      </w:r>
    </w:p>
    <w:p w14:paraId="249CEFB8" w14:textId="77777777" w:rsidR="00365CDB" w:rsidRPr="00365CDB" w:rsidRDefault="00365CDB" w:rsidP="00365CDB">
      <w:pPr>
        <w:pStyle w:val="ListParagraph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</w:p>
    <w:p w14:paraId="249CEFB9" w14:textId="77777777" w:rsidR="00365CDB" w:rsidRPr="00365CDB" w:rsidRDefault="00365CDB" w:rsidP="00365CD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Mention dans le rapport de révision en cas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infraction au droit des sociétés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  <w:t>602</w:t>
      </w:r>
    </w:p>
    <w:p w14:paraId="249CEFBA" w14:textId="77777777" w:rsid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sz w:val="24"/>
          <w:szCs w:val="24"/>
          <w:lang w:val="fr-BE"/>
        </w:rPr>
        <w:t>Il doit exister un risque de préjudice</w:t>
      </w:r>
    </w:p>
    <w:p w14:paraId="249CEFBB" w14:textId="77777777" w:rsid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sz w:val="24"/>
          <w:szCs w:val="24"/>
          <w:lang w:val="fr-BE"/>
        </w:rPr>
        <w:t>Que faut-il entendre par correction ?</w:t>
      </w:r>
    </w:p>
    <w:p w14:paraId="249CEFBC" w14:textId="77777777" w:rsid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sz w:val="24"/>
          <w:szCs w:val="24"/>
          <w:lang w:val="fr-BE"/>
        </w:rPr>
        <w:t>Importance relative</w:t>
      </w:r>
    </w:p>
    <w:p w14:paraId="249CEFBD" w14:textId="77777777" w:rsidR="00365CDB" w:rsidRP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sz w:val="24"/>
          <w:szCs w:val="24"/>
          <w:lang w:val="fr-BE"/>
        </w:rPr>
        <w:t>Relation entre le rapport de révision et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365CDB">
        <w:rPr>
          <w:rFonts w:ascii="Times New Roman" w:eastAsia="Calibri" w:hAnsi="Times New Roman" w:cs="Times New Roman"/>
          <w:sz w:val="24"/>
          <w:szCs w:val="24"/>
          <w:lang w:val="fr-BE"/>
        </w:rPr>
        <w:t>information de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365CDB">
        <w:rPr>
          <w:rFonts w:ascii="Times New Roman" w:eastAsia="Calibri" w:hAnsi="Times New Roman" w:cs="Times New Roman"/>
          <w:sz w:val="24"/>
          <w:szCs w:val="24"/>
          <w:lang w:val="fr-BE"/>
        </w:rPr>
        <w:t>assemblée</w:t>
      </w:r>
    </w:p>
    <w:p w14:paraId="249CEFBE" w14:textId="77777777" w:rsidR="00365CDB" w:rsidRDefault="00365CDB" w:rsidP="00365CDB">
      <w:pPr>
        <w:pStyle w:val="ListParagraph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sz w:val="24"/>
          <w:szCs w:val="24"/>
          <w:lang w:val="fr-BE"/>
        </w:rPr>
        <w:t>générale</w:t>
      </w:r>
    </w:p>
    <w:p w14:paraId="249CEFBF" w14:textId="77777777" w:rsidR="00365CDB" w:rsidRPr="00365CDB" w:rsidRDefault="00365CDB" w:rsidP="00365CDB">
      <w:pPr>
        <w:pStyle w:val="ListParagraph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C0" w14:textId="77777777" w:rsidR="00365CDB" w:rsidRPr="00365CDB" w:rsidRDefault="00365CDB" w:rsidP="00365CD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Evénements survenus après la clôture de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exercice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  <w:t>607</w:t>
      </w:r>
    </w:p>
    <w:p w14:paraId="249CEFC1" w14:textId="77777777" w:rsidR="00365CDB" w:rsidRP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</w:rPr>
        <w:t>Généralités</w:t>
      </w:r>
    </w:p>
    <w:p w14:paraId="249CEFC2" w14:textId="77777777" w:rsidR="00365CDB" w:rsidRP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Modifications des comptes après la signature du rapport de révision</w:t>
      </w:r>
    </w:p>
    <w:p w14:paraId="249CEFC3" w14:textId="77777777" w:rsidR="00365CDB" w:rsidRPr="00365CDB" w:rsidRDefault="00365CDB" w:rsidP="00365CDB">
      <w:pPr>
        <w:pStyle w:val="ListParagraph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</w:p>
    <w:p w14:paraId="249CEFC4" w14:textId="77777777" w:rsidR="00365CDB" w:rsidRPr="00365CDB" w:rsidRDefault="00365CDB" w:rsidP="00365CD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sz w:val="24"/>
          <w:szCs w:val="24"/>
          <w:lang w:val="fr-FR"/>
        </w:rPr>
        <w:t>Rapport de carence et fin du mandat</w:t>
      </w:r>
      <w:r w:rsidRPr="00365CD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  <w:t>611</w:t>
      </w:r>
    </w:p>
    <w:p w14:paraId="249CEFC5" w14:textId="77777777" w:rsidR="00365CDB" w:rsidRPr="00365CDB" w:rsidRDefault="00365CDB" w:rsidP="00365CDB">
      <w:pPr>
        <w:pStyle w:val="ListParagraph"/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</w:p>
    <w:p w14:paraId="249CEFC6" w14:textId="77777777" w:rsidR="00365CDB" w:rsidRPr="00365CDB" w:rsidRDefault="00365CDB" w:rsidP="00365CD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</w:rPr>
        <w:t>Signature du rapport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612</w:t>
      </w:r>
    </w:p>
    <w:p w14:paraId="249CEFC7" w14:textId="77777777" w:rsid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sz w:val="24"/>
          <w:szCs w:val="24"/>
          <w:lang w:val="fr-BE"/>
        </w:rPr>
        <w:t>Délégation de signature</w:t>
      </w:r>
    </w:p>
    <w:p w14:paraId="249CEFC8" w14:textId="77777777" w:rsid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Rapport lorsqu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un commissaire suppléant intervient</w:t>
      </w:r>
    </w:p>
    <w:p w14:paraId="249CEFC9" w14:textId="77777777" w:rsid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Rapport commun établi par les réviseurs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entreprises et les membres</w:t>
      </w:r>
    </w:p>
    <w:p w14:paraId="249CEFCA" w14:textId="77777777" w:rsidR="00365CDB" w:rsidRDefault="00365CDB" w:rsidP="00365CDB">
      <w:pPr>
        <w:pStyle w:val="ListParagraph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de la Cour 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des c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omptes</w:t>
      </w:r>
    </w:p>
    <w:p w14:paraId="249CEFCB" w14:textId="77777777" w:rsidR="00800C21" w:rsidRDefault="00800C21" w:rsidP="00800C21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CC" w14:textId="77777777" w:rsidR="00800C21" w:rsidRPr="00800C21" w:rsidRDefault="00800C21" w:rsidP="00800C21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Lettre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affirmation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619</w:t>
      </w:r>
    </w:p>
    <w:p w14:paraId="249CEFCD" w14:textId="77777777" w:rsidR="00800C21" w:rsidRDefault="00800C21" w:rsidP="00800C21">
      <w:pPr>
        <w:pStyle w:val="ListParagraph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Principe</w:t>
      </w:r>
    </w:p>
    <w:p w14:paraId="249CEFCE" w14:textId="77777777" w:rsidR="00800C21" w:rsidRDefault="00800C21" w:rsidP="00800C21">
      <w:pPr>
        <w:pStyle w:val="ListParagraph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Responsabilité des signataires</w:t>
      </w:r>
    </w:p>
    <w:p w14:paraId="249CEFCF" w14:textId="77777777" w:rsidR="00800C21" w:rsidRDefault="00800C21" w:rsidP="00800C21">
      <w:pPr>
        <w:pStyle w:val="ListParagraph"/>
        <w:numPr>
          <w:ilvl w:val="2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R</w:t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esponsabilité des signataires de la le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ttre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affirmation</w:t>
      </w:r>
    </w:p>
    <w:p w14:paraId="249CEFD0" w14:textId="77777777" w:rsidR="00800C21" w:rsidRDefault="00800C21" w:rsidP="00800C21">
      <w:pPr>
        <w:pStyle w:val="ListParagraph"/>
        <w:numPr>
          <w:ilvl w:val="2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Responsabilité de la société auditée</w:t>
      </w:r>
    </w:p>
    <w:p w14:paraId="249CEFD1" w14:textId="77777777" w:rsidR="00800C21" w:rsidRDefault="00800C21" w:rsidP="00800C21">
      <w:pPr>
        <w:pStyle w:val="ListParagraph"/>
        <w:numPr>
          <w:ilvl w:val="2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Secret professionnel</w:t>
      </w:r>
    </w:p>
    <w:p w14:paraId="249CEFD2" w14:textId="77777777" w:rsidR="00800C21" w:rsidRDefault="00800C21" w:rsidP="00800C21">
      <w:pPr>
        <w:pStyle w:val="ListParagraph"/>
        <w:numPr>
          <w:ilvl w:val="2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Refus de signer la lettre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affirmation</w:t>
      </w:r>
    </w:p>
    <w:p w14:paraId="249CEFD3" w14:textId="77777777" w:rsidR="00800C21" w:rsidRDefault="00800C21" w:rsidP="00800C21">
      <w:pPr>
        <w:pStyle w:val="ListParagraph"/>
        <w:numPr>
          <w:ilvl w:val="2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Notion de « garantie »</w:t>
      </w:r>
    </w:p>
    <w:p w14:paraId="249CEFD4" w14:textId="77777777" w:rsidR="00800C21" w:rsidRPr="00800C21" w:rsidRDefault="00800C21" w:rsidP="00800C21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D5" w14:textId="77777777" w:rsidR="00623AAE" w:rsidRDefault="00623AAE" w:rsidP="00623AAE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D6" w14:textId="77777777" w:rsidR="00800C21" w:rsidRPr="00D914E0" w:rsidRDefault="00800C21" w:rsidP="00800C21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914E0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Etudes IRE, </w:t>
      </w:r>
      <w:r w:rsidRPr="00D914E0">
        <w:rPr>
          <w:rFonts w:ascii="Times New Roman" w:eastAsia="Calibri" w:hAnsi="Times New Roman" w:cs="Times New Roman"/>
          <w:b/>
          <w:i/>
          <w:sz w:val="24"/>
          <w:szCs w:val="24"/>
          <w:lang w:val="fr-BE"/>
        </w:rPr>
        <w:t>La société et son commissaire</w:t>
      </w:r>
      <w:r w:rsidRPr="00D914E0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</w:t>
      </w:r>
      <w:r w:rsidR="00F474C6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– </w:t>
      </w:r>
      <w:r w:rsidRPr="00D914E0">
        <w:rPr>
          <w:rFonts w:ascii="Times New Roman" w:eastAsia="Calibri" w:hAnsi="Times New Roman" w:cs="Times New Roman"/>
          <w:b/>
          <w:sz w:val="24"/>
          <w:szCs w:val="24"/>
          <w:lang w:val="fr-BE"/>
        </w:rPr>
        <w:t>Cas pratiques, 2004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104"/>
        <w:gridCol w:w="19"/>
        <w:gridCol w:w="1165"/>
      </w:tblGrid>
      <w:tr w:rsidR="00623AAE" w:rsidRPr="007C40CA" w14:paraId="249CEFD9" w14:textId="77777777" w:rsidTr="00D95AE0">
        <w:tc>
          <w:tcPr>
            <w:tcW w:w="4373" w:type="pct"/>
            <w:gridSpan w:val="2"/>
          </w:tcPr>
          <w:p w14:paraId="249CEFD7" w14:textId="77777777" w:rsidR="00623AAE" w:rsidRPr="00DE2864" w:rsidRDefault="00623AAE" w:rsidP="00623AAE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627" w:type="pct"/>
          </w:tcPr>
          <w:p w14:paraId="249CEFD8" w14:textId="77777777" w:rsidR="00623AAE" w:rsidRPr="00DE2864" w:rsidRDefault="00623AAE" w:rsidP="00D95AE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Page</w:t>
            </w:r>
          </w:p>
        </w:tc>
      </w:tr>
      <w:tr w:rsidR="00623AAE" w:rsidRPr="007C40CA" w14:paraId="249CEFDC" w14:textId="77777777" w:rsidTr="00D95AE0">
        <w:tc>
          <w:tcPr>
            <w:tcW w:w="4373" w:type="pct"/>
            <w:gridSpan w:val="2"/>
          </w:tcPr>
          <w:p w14:paraId="249CEFDA" w14:textId="77777777" w:rsidR="00623AAE" w:rsidRPr="002E1729" w:rsidRDefault="00623AAE" w:rsidP="001E138C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 xml:space="preserve">Comment présenter 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la certification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 xml:space="preserve"> des comptes auprès de certaines entités publiques dont certains commissaires n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ont pas la qualité de réviseur d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entreprises ?</w:t>
            </w:r>
          </w:p>
        </w:tc>
        <w:tc>
          <w:tcPr>
            <w:tcW w:w="627" w:type="pct"/>
          </w:tcPr>
          <w:p w14:paraId="249CEFDB" w14:textId="77777777" w:rsidR="00623AAE" w:rsidRPr="00DE2864" w:rsidRDefault="00623AAE" w:rsidP="00D95AE0">
            <w:pPr>
              <w:tabs>
                <w:tab w:val="left" w:pos="426"/>
                <w:tab w:val="num" w:pos="1134"/>
              </w:tabs>
              <w:ind w:left="426" w:hanging="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623AAE" w:rsidRPr="007C40CA" w14:paraId="249CEFDF" w14:textId="77777777" w:rsidTr="00D95AE0">
        <w:tc>
          <w:tcPr>
            <w:tcW w:w="4373" w:type="pct"/>
            <w:gridSpan w:val="2"/>
          </w:tcPr>
          <w:p w14:paraId="249CEFDD" w14:textId="77777777" w:rsidR="00623AAE" w:rsidRPr="002E1729" w:rsidRDefault="00623AAE" w:rsidP="002E17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Intervention d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un collaborateur (exclusif) au nom d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une société de révision</w:t>
            </w:r>
          </w:p>
        </w:tc>
        <w:tc>
          <w:tcPr>
            <w:tcW w:w="627" w:type="pct"/>
          </w:tcPr>
          <w:p w14:paraId="249CEFDE" w14:textId="77777777" w:rsidR="00623AAE" w:rsidRPr="00DE2864" w:rsidRDefault="00623AAE" w:rsidP="00D95AE0">
            <w:pPr>
              <w:tabs>
                <w:tab w:val="left" w:pos="426"/>
                <w:tab w:val="num" w:pos="1134"/>
              </w:tabs>
              <w:ind w:left="426" w:hanging="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623AAE" w:rsidRPr="007C40CA" w14:paraId="249CEFE2" w14:textId="77777777" w:rsidTr="00D95AE0">
        <w:tc>
          <w:tcPr>
            <w:tcW w:w="4373" w:type="pct"/>
            <w:gridSpan w:val="2"/>
          </w:tcPr>
          <w:p w14:paraId="249CEFE0" w14:textId="77777777" w:rsidR="00623AAE" w:rsidRPr="002E1729" w:rsidRDefault="00623AAE" w:rsidP="002E1729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A qui revient la responsabilité en cas de délégation de signature</w:t>
            </w:r>
            <w:r w:rsidR="00A875CA"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 ?</w:t>
            </w:r>
          </w:p>
        </w:tc>
        <w:tc>
          <w:tcPr>
            <w:tcW w:w="627" w:type="pct"/>
          </w:tcPr>
          <w:p w14:paraId="249CEFE1" w14:textId="77777777" w:rsidR="00623AAE" w:rsidRPr="00DE2864" w:rsidRDefault="00623AAE" w:rsidP="00D95AE0">
            <w:pPr>
              <w:tabs>
                <w:tab w:val="left" w:pos="426"/>
                <w:tab w:val="num" w:pos="1134"/>
              </w:tabs>
              <w:ind w:left="426" w:hanging="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1E138C" w:rsidRPr="007C40CA" w14:paraId="249CEFE5" w14:textId="77777777" w:rsidTr="00D95AE0">
        <w:tc>
          <w:tcPr>
            <w:tcW w:w="4373" w:type="pct"/>
            <w:gridSpan w:val="2"/>
          </w:tcPr>
          <w:p w14:paraId="249CEFE3" w14:textId="77777777" w:rsidR="001E138C" w:rsidRPr="002E1729" w:rsidRDefault="001E138C" w:rsidP="001E138C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 xml:space="preserve">Que se passe-t-il quand il y a divergence entre le procès-verbal de la réunion du conseil d’entreprise et sa communication à l’assemblée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lastRenderedPageBreak/>
              <w:t>générale ?</w:t>
            </w:r>
          </w:p>
        </w:tc>
        <w:tc>
          <w:tcPr>
            <w:tcW w:w="627" w:type="pct"/>
          </w:tcPr>
          <w:p w14:paraId="249CEFE4" w14:textId="77777777" w:rsidR="001E138C" w:rsidRPr="00DE2864" w:rsidRDefault="001E138C" w:rsidP="00D95AE0">
            <w:pPr>
              <w:tabs>
                <w:tab w:val="left" w:pos="426"/>
              </w:tabs>
              <w:ind w:left="426" w:hanging="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</w:t>
            </w:r>
          </w:p>
        </w:tc>
      </w:tr>
      <w:tr w:rsidR="001E138C" w:rsidRPr="001E138C" w14:paraId="249CEFE8" w14:textId="77777777" w:rsidTr="00D95AE0">
        <w:tc>
          <w:tcPr>
            <w:tcW w:w="4373" w:type="pct"/>
            <w:gridSpan w:val="2"/>
          </w:tcPr>
          <w:p w14:paraId="249CEFE6" w14:textId="77777777" w:rsidR="001E138C" w:rsidRPr="002E1729" w:rsidRDefault="001E138C" w:rsidP="002E1729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Quelle est la forme du rapport à établir destiné au comité pour la prévention et la protection au travail qui exerce la fonction du conseil d’entreprise ?</w:t>
            </w:r>
          </w:p>
        </w:tc>
        <w:tc>
          <w:tcPr>
            <w:tcW w:w="627" w:type="pct"/>
          </w:tcPr>
          <w:p w14:paraId="249CEFE7" w14:textId="77777777" w:rsidR="001E138C" w:rsidRPr="001E138C" w:rsidRDefault="001E138C" w:rsidP="00D95AE0">
            <w:pPr>
              <w:tabs>
                <w:tab w:val="left" w:pos="426"/>
              </w:tabs>
              <w:ind w:left="426" w:hanging="42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96</w:t>
            </w:r>
          </w:p>
        </w:tc>
      </w:tr>
      <w:tr w:rsidR="00623AAE" w:rsidRPr="007C40CA" w14:paraId="249CEFEB" w14:textId="77777777" w:rsidTr="00D95AE0">
        <w:tc>
          <w:tcPr>
            <w:tcW w:w="4373" w:type="pct"/>
            <w:gridSpan w:val="2"/>
          </w:tcPr>
          <w:p w14:paraId="249CEFE9" w14:textId="77777777" w:rsidR="00623AAE" w:rsidRPr="002E1729" w:rsidRDefault="00623AAE" w:rsidP="002E1729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Le réviseur d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entreprises doit-il rédiger un rapport de révision sur les comptes d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une succursale ayant un conseil d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entreprise ?</w:t>
            </w:r>
          </w:p>
        </w:tc>
        <w:tc>
          <w:tcPr>
            <w:tcW w:w="627" w:type="pct"/>
          </w:tcPr>
          <w:p w14:paraId="249CEFEA" w14:textId="77777777" w:rsidR="00623AAE" w:rsidRPr="00DE2864" w:rsidRDefault="00623AAE" w:rsidP="00D95AE0">
            <w:pPr>
              <w:tabs>
                <w:tab w:val="left" w:pos="426"/>
              </w:tabs>
              <w:ind w:left="426" w:hanging="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623AAE" w:rsidRPr="007C40CA" w14:paraId="249CEFEE" w14:textId="77777777" w:rsidTr="00D95AE0">
        <w:tc>
          <w:tcPr>
            <w:tcW w:w="4373" w:type="pct"/>
            <w:gridSpan w:val="2"/>
          </w:tcPr>
          <w:p w14:paraId="249CEFEC" w14:textId="77777777" w:rsidR="00623AAE" w:rsidRPr="002E1729" w:rsidRDefault="00623AAE" w:rsidP="002E1729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 xml:space="preserve">Le </w:t>
            </w:r>
            <w:r w:rsidR="00A875CA"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c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ommissaire doit-il rédiger deux rapports dans le cas où il y a concours entre le rapport sur la proposition de dissolution et le rapport de révision sur les comptes annuels ?</w:t>
            </w:r>
          </w:p>
        </w:tc>
        <w:tc>
          <w:tcPr>
            <w:tcW w:w="627" w:type="pct"/>
          </w:tcPr>
          <w:p w14:paraId="249CEFED" w14:textId="77777777" w:rsidR="00623AAE" w:rsidRPr="00DE2864" w:rsidRDefault="00623AAE" w:rsidP="00D95AE0">
            <w:pPr>
              <w:tabs>
                <w:tab w:val="left" w:pos="426"/>
              </w:tabs>
              <w:ind w:left="426" w:hanging="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623AAE" w:rsidRPr="007C40CA" w14:paraId="249CEFF1" w14:textId="77777777" w:rsidTr="00D95AE0"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</w:tcPr>
          <w:p w14:paraId="249CEFEF" w14:textId="77777777" w:rsidR="00623AAE" w:rsidRPr="002E1729" w:rsidRDefault="00623AAE" w:rsidP="002E1729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Infractions aux dispositions relatives à la consolidation : faut-il que le commissaire mentionne l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infraction, et si oui, dans quel rapport ?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CEFF0" w14:textId="77777777" w:rsidR="00623AAE" w:rsidRPr="00DE2864" w:rsidRDefault="00623AAE" w:rsidP="00D95AE0">
            <w:pPr>
              <w:tabs>
                <w:tab w:val="left" w:pos="426"/>
                <w:tab w:val="num" w:pos="1134"/>
              </w:tabs>
              <w:ind w:left="426" w:hanging="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623AAE" w:rsidRPr="007C40CA" w14:paraId="249CEFF4" w14:textId="77777777" w:rsidTr="00D95AE0"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</w:tcPr>
          <w:p w14:paraId="249CEFF2" w14:textId="77777777" w:rsidR="002E1729" w:rsidRPr="00DE2864" w:rsidRDefault="00623AAE" w:rsidP="001E138C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Que se passe-t-il quand il y a désaccord entre les membres d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un collège de commissaires ?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CEFF3" w14:textId="77777777" w:rsidR="00623AAE" w:rsidRPr="00DE2864" w:rsidRDefault="00623AAE" w:rsidP="00D95AE0">
            <w:pPr>
              <w:tabs>
                <w:tab w:val="left" w:pos="426"/>
                <w:tab w:val="num" w:pos="1134"/>
              </w:tabs>
              <w:ind w:left="426" w:hanging="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623AAE" w:rsidRPr="007C40CA" w14:paraId="249CEFF9" w14:textId="77777777" w:rsidTr="00D95AE0"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</w:tcPr>
          <w:p w14:paraId="249CEFF5" w14:textId="77777777" w:rsidR="00623AAE" w:rsidRDefault="00623AAE" w:rsidP="00F474C6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Modifications des comptes annuels après la signature du rapport de révision : faut-il rédiger un nouveau rapport ?</w:t>
            </w:r>
          </w:p>
          <w:p w14:paraId="249CEFF6" w14:textId="77777777" w:rsidR="00F474C6" w:rsidRDefault="00F474C6" w:rsidP="00F474C6">
            <w:pPr>
              <w:pStyle w:val="ListParagraph"/>
              <w:numPr>
                <w:ilvl w:val="1"/>
                <w:numId w:val="7"/>
              </w:numPr>
              <w:spacing w:after="0"/>
              <w:ind w:left="1865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Modification par 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DE2864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organe de gestion</w:t>
            </w:r>
          </w:p>
          <w:p w14:paraId="249CEFF7" w14:textId="77777777" w:rsidR="00F474C6" w:rsidRPr="002E1729" w:rsidRDefault="00F474C6" w:rsidP="00F474C6">
            <w:pPr>
              <w:pStyle w:val="ListParagraph"/>
              <w:numPr>
                <w:ilvl w:val="1"/>
                <w:numId w:val="7"/>
              </w:numPr>
              <w:spacing w:after="0"/>
              <w:ind w:left="1865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Modification par ou au cours de 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DE2864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assemblée générale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CEFF8" w14:textId="77777777" w:rsidR="00623AAE" w:rsidRPr="00DE2864" w:rsidRDefault="00623AAE" w:rsidP="00D95AE0">
            <w:pPr>
              <w:tabs>
                <w:tab w:val="left" w:pos="426"/>
                <w:tab w:val="num" w:pos="1134"/>
              </w:tabs>
              <w:ind w:left="426" w:hanging="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623AAE" w:rsidRPr="007C40CA" w14:paraId="249CEFFC" w14:textId="77777777" w:rsidTr="00D95AE0"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</w:tcPr>
          <w:p w14:paraId="249CEFFA" w14:textId="77777777" w:rsidR="00623AAE" w:rsidRPr="002E1729" w:rsidRDefault="00623AAE" w:rsidP="002E1729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A quelle occasion le commissaire établit-il un rapport de carence, à qui l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adresse-t-il et qui doit-il mentionner ?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CEFFB" w14:textId="77777777" w:rsidR="00623AAE" w:rsidRPr="00DE2864" w:rsidRDefault="00623AAE" w:rsidP="00D95AE0">
            <w:pPr>
              <w:tabs>
                <w:tab w:val="left" w:pos="426"/>
                <w:tab w:val="num" w:pos="1134"/>
              </w:tabs>
              <w:ind w:left="426" w:hanging="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AAE" w:rsidRPr="007C40CA" w14:paraId="249CF001" w14:textId="77777777" w:rsidTr="00D95AE0"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</w:tcPr>
          <w:p w14:paraId="249CEFFD" w14:textId="77777777" w:rsidR="00623AAE" w:rsidRPr="002E1729" w:rsidRDefault="00623AAE" w:rsidP="002E1729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Comment se passe la rédaction du rapport de révision lorsqu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un commissaire suppléant exerce la fonction de commissaire ?</w:t>
            </w:r>
          </w:p>
          <w:p w14:paraId="249CEFFF" w14:textId="77777777" w:rsidR="00292CB1" w:rsidRPr="00DE2864" w:rsidRDefault="00292CB1" w:rsidP="002E324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CF000" w14:textId="77777777" w:rsidR="00623AAE" w:rsidRPr="00DE2864" w:rsidRDefault="00623AAE" w:rsidP="00D95AE0">
            <w:pPr>
              <w:tabs>
                <w:tab w:val="left" w:pos="426"/>
                <w:tab w:val="num" w:pos="1134"/>
              </w:tabs>
              <w:ind w:left="426" w:hanging="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</w:tbl>
    <w:p w14:paraId="249CF002" w14:textId="77777777" w:rsidR="008161A0" w:rsidRDefault="008161A0" w:rsidP="008161A0">
      <w:pPr>
        <w:pStyle w:val="ListParagraph"/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</w:p>
    <w:p w14:paraId="249CF003" w14:textId="77777777" w:rsidR="00365CDB" w:rsidRPr="00623AAE" w:rsidRDefault="00D914E0" w:rsidP="00365CDB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fr-BE"/>
        </w:rPr>
        <w:t>Sélection</w:t>
      </w:r>
      <w:r w:rsidR="002E1729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d</w:t>
      </w:r>
      <w:r w:rsidR="001E138C">
        <w:rPr>
          <w:rFonts w:ascii="Times New Roman" w:eastAsia="Calibri" w:hAnsi="Times New Roman" w:cs="Times New Roman"/>
          <w:b/>
          <w:sz w:val="24"/>
          <w:szCs w:val="24"/>
          <w:lang w:val="fr-BE"/>
        </w:rPr>
        <w:t>’</w:t>
      </w:r>
      <w:r w:rsidR="002E1729">
        <w:rPr>
          <w:rFonts w:ascii="Times New Roman" w:eastAsia="Calibri" w:hAnsi="Times New Roman" w:cs="Times New Roman"/>
          <w:b/>
          <w:sz w:val="24"/>
          <w:szCs w:val="24"/>
          <w:lang w:val="fr-BE"/>
        </w:rPr>
        <w:t>a</w:t>
      </w:r>
      <w:r w:rsidR="00623AAE" w:rsidRPr="00623AAE">
        <w:rPr>
          <w:rFonts w:ascii="Times New Roman" w:eastAsia="Calibri" w:hAnsi="Times New Roman" w:cs="Times New Roman"/>
          <w:b/>
          <w:sz w:val="24"/>
          <w:szCs w:val="24"/>
          <w:lang w:val="fr-BE"/>
        </w:rPr>
        <w:t>vis émis par l</w:t>
      </w:r>
      <w:r w:rsidR="001E138C">
        <w:rPr>
          <w:rFonts w:ascii="Times New Roman" w:eastAsia="Calibri" w:hAnsi="Times New Roman" w:cs="Times New Roman"/>
          <w:b/>
          <w:sz w:val="24"/>
          <w:szCs w:val="24"/>
          <w:lang w:val="fr-BE"/>
        </w:rPr>
        <w:t>’</w:t>
      </w:r>
      <w:r w:rsidR="00623AAE" w:rsidRPr="00623AAE">
        <w:rPr>
          <w:rFonts w:ascii="Times New Roman" w:eastAsia="Calibri" w:hAnsi="Times New Roman" w:cs="Times New Roman"/>
          <w:b/>
          <w:sz w:val="24"/>
          <w:szCs w:val="24"/>
          <w:lang w:val="fr-BE"/>
        </w:rPr>
        <w:t>ICCI relatifs au rapport du commissaire</w:t>
      </w:r>
      <w:r w:rsidR="002E1729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</w:t>
      </w:r>
      <w:r w:rsidR="002E1729">
        <w:rPr>
          <w:rFonts w:ascii="Times New Roman" w:eastAsia="Calibri" w:hAnsi="Times New Roman" w:cs="Times New Roman"/>
          <w:sz w:val="24"/>
          <w:szCs w:val="24"/>
          <w:lang w:val="fr-BE"/>
        </w:rPr>
        <w:t>(</w:t>
      </w:r>
      <w:hyperlink r:id="rId11" w:history="1">
        <w:r w:rsidRPr="009F12C8">
          <w:rPr>
            <w:rStyle w:val="Hyperlink"/>
            <w:rFonts w:ascii="Times New Roman" w:eastAsia="Calibri" w:hAnsi="Times New Roman" w:cs="Times New Roman"/>
            <w:sz w:val="24"/>
            <w:szCs w:val="24"/>
            <w:lang w:val="fr-BE"/>
          </w:rPr>
          <w:t>www.icci.be</w:t>
        </w:r>
      </w:hyperlink>
      <w:r w:rsidR="002E1729">
        <w:rPr>
          <w:rFonts w:ascii="Times New Roman" w:eastAsia="Calibri" w:hAnsi="Times New Roman" w:cs="Times New Roman"/>
          <w:sz w:val="24"/>
          <w:szCs w:val="24"/>
          <w:lang w:val="fr-BE"/>
        </w:rPr>
        <w:t>)</w:t>
      </w:r>
      <w:r w:rsidR="00FC4627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(M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ots-clés : rapport du commissaire, </w:t>
      </w:r>
      <w:r w:rsidR="008811A3">
        <w:rPr>
          <w:rFonts w:ascii="Times New Roman" w:eastAsia="Calibri" w:hAnsi="Times New Roman" w:cs="Times New Roman"/>
          <w:sz w:val="24"/>
          <w:szCs w:val="24"/>
          <w:lang w:val="fr-BE"/>
        </w:rPr>
        <w:t>rapport de carence, commissarisverslag, verslag van niet-bevinding)</w:t>
      </w:r>
    </w:p>
    <w:p w14:paraId="249CF004" w14:textId="77777777" w:rsidR="00365CDB" w:rsidRDefault="00365CDB" w:rsidP="002E1729">
      <w:pPr>
        <w:pStyle w:val="ListParagraph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4BB67BDE" w14:textId="77777777" w:rsidR="002E3240" w:rsidRDefault="002E3240" w:rsidP="002E32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Advies van 14 mei 2020 : Nieuw WVV – commissarisverslag - liquiditeitstest</w:t>
      </w:r>
    </w:p>
    <w:p w14:paraId="32BAE278" w14:textId="77777777" w:rsidR="002E3240" w:rsidRDefault="002E3240" w:rsidP="002E32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Advies van 16 april 2020 : Art. 5:143 WVV – ondertekening representation letter</w:t>
      </w:r>
    </w:p>
    <w:p w14:paraId="468EE1DF" w14:textId="77777777" w:rsidR="002E3240" w:rsidRDefault="002E3240" w:rsidP="002E32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Avis du 4 février 2020 : </w:t>
      </w:r>
      <w:r w:rsidRPr="00B51BE8">
        <w:rPr>
          <w:rFonts w:ascii="Times New Roman" w:eastAsia="Times New Roman" w:hAnsi="Times New Roman" w:cs="Times New Roman"/>
          <w:sz w:val="24"/>
          <w:szCs w:val="24"/>
          <w:lang w:val="fr-BE"/>
        </w:rPr>
        <w:t>ASBL où un commissaire est nommé – obligation de déposer et publier ses comptes annuels et le rapport du commissaire</w:t>
      </w:r>
    </w:p>
    <w:p w14:paraId="727BFE67" w14:textId="77777777" w:rsidR="002E3240" w:rsidRDefault="002E3240" w:rsidP="002E32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Advies van 25 juli 2019 : Ondertekening van de gepubliceerde versie van het commissarisverslag</w:t>
      </w:r>
    </w:p>
    <w:p w14:paraId="249CF005" w14:textId="77777777" w:rsidR="00393477" w:rsidRPr="0005549A" w:rsidRDefault="00393477" w:rsidP="003934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05549A">
        <w:rPr>
          <w:rFonts w:ascii="Times New Roman" w:eastAsia="Times New Roman" w:hAnsi="Times New Roman" w:cs="Times New Roman"/>
          <w:sz w:val="24"/>
          <w:szCs w:val="24"/>
          <w:lang w:val="fr-BE"/>
        </w:rPr>
        <w:t>Avis du 13 juin 2019: Association d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e fait et le registre UBO</w:t>
      </w:r>
    </w:p>
    <w:p w14:paraId="249CF006" w14:textId="77777777" w:rsidR="00393477" w:rsidRPr="0005549A" w:rsidRDefault="00393477" w:rsidP="003934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9A">
        <w:rPr>
          <w:rFonts w:ascii="Times New Roman" w:eastAsia="Times New Roman" w:hAnsi="Times New Roman" w:cs="Times New Roman"/>
          <w:sz w:val="24"/>
          <w:szCs w:val="24"/>
        </w:rPr>
        <w:t>Advies van 7 juni 2019 : Geconsolideerde j</w:t>
      </w:r>
      <w:r>
        <w:rPr>
          <w:rFonts w:ascii="Times New Roman" w:eastAsia="Times New Roman" w:hAnsi="Times New Roman" w:cs="Times New Roman"/>
          <w:sz w:val="24"/>
          <w:szCs w:val="24"/>
        </w:rPr>
        <w:t>aarrekening en verslag van niet-bevinding</w:t>
      </w:r>
    </w:p>
    <w:p w14:paraId="249CF007" w14:textId="77777777" w:rsidR="003D34D0" w:rsidRDefault="003D34D0" w:rsidP="003D34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5603B4">
        <w:rPr>
          <w:rFonts w:ascii="Times New Roman" w:eastAsia="Times New Roman" w:hAnsi="Times New Roman" w:cs="Times New Roman"/>
          <w:sz w:val="24"/>
          <w:szCs w:val="24"/>
          <w:lang w:val="fr-BE"/>
        </w:rPr>
        <w:t>Avis du 26 février 2019: Non-respect de l’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obligation de soumettre les comptes annuels à l’approbation de l’assemblée générale dans les six mois de la clôture de l’exercice</w:t>
      </w:r>
    </w:p>
    <w:p w14:paraId="249CF008" w14:textId="77777777" w:rsidR="003D34D0" w:rsidRPr="005603B4" w:rsidRDefault="003D34D0" w:rsidP="003D34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Avis du 9 juillet 2018 : Application de l’article 523 du Code des sociétés (conflit d’intérêts)</w:t>
      </w:r>
    </w:p>
    <w:p w14:paraId="249CF009" w14:textId="77777777" w:rsidR="003D34D0" w:rsidRDefault="003D34D0" w:rsidP="003D34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Advies van 9 mei 2018: Vragen voorgelegd met betrekking tot het toepassingsgebied van de kernpunten van de controle en meer in het bijzonder van ISA 701</w:t>
      </w:r>
    </w:p>
    <w:p w14:paraId="249CF00A" w14:textId="77777777" w:rsidR="003D34D0" w:rsidRDefault="003D34D0" w:rsidP="003D34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Advies van 2 maart 2018: Commissarisverslag en materialiteit voor controle van een OOB</w:t>
      </w:r>
    </w:p>
    <w:p w14:paraId="249CF00B" w14:textId="77777777" w:rsidR="003D34D0" w:rsidRPr="00450164" w:rsidRDefault="003D34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Advies van 20 juli 2017: Impact op het commissarismandaat van de zetelverplaatsing van een vennootschap naar Zwitserland</w:t>
      </w:r>
    </w:p>
    <w:p w14:paraId="249CF00C" w14:textId="77777777" w:rsidR="008161A0" w:rsidRDefault="008161A0" w:rsidP="008161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Advies van 28 juni 2017: </w:t>
      </w:r>
      <w:r w:rsidRPr="00E1379E">
        <w:rPr>
          <w:rFonts w:ascii="Times New Roman" w:eastAsia="Times New Roman" w:hAnsi="Times New Roman" w:cs="Times New Roman"/>
          <w:sz w:val="24"/>
          <w:szCs w:val="24"/>
        </w:rPr>
        <w:t>Commissarisverslag over een voorgaand boekjaar na de zetelverplaatsing van de vennootschap vanuit België naar Nederland</w:t>
      </w:r>
    </w:p>
    <w:p w14:paraId="249CF00D" w14:textId="77777777" w:rsidR="008161A0" w:rsidRDefault="008161A0" w:rsidP="008161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29 maart 2017: </w:t>
      </w:r>
      <w:r w:rsidRPr="00E1379E">
        <w:rPr>
          <w:rFonts w:ascii="Times New Roman" w:eastAsia="Times New Roman" w:hAnsi="Times New Roman" w:cs="Times New Roman"/>
          <w:sz w:val="24"/>
          <w:szCs w:val="24"/>
        </w:rPr>
        <w:t>Impact van de niet up-to-date elektronische versie van het NBB-model van jaarrekening op het commissarisverslag</w:t>
      </w:r>
    </w:p>
    <w:p w14:paraId="249CF00E" w14:textId="77777777" w:rsidR="008161A0" w:rsidRDefault="008161A0" w:rsidP="008161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18 maart 2016: </w:t>
      </w:r>
      <w:r w:rsidRPr="00E1379E">
        <w:rPr>
          <w:rFonts w:ascii="Times New Roman" w:eastAsia="Times New Roman" w:hAnsi="Times New Roman" w:cs="Times New Roman"/>
          <w:sz w:val="24"/>
          <w:szCs w:val="24"/>
        </w:rPr>
        <w:t>Ondertekening van de gepubliceerde versie van het commissarisverslag</w:t>
      </w:r>
    </w:p>
    <w:p w14:paraId="249CF00F" w14:textId="77777777" w:rsidR="008161A0" w:rsidRDefault="008161A0" w:rsidP="008161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1 december 2015: </w:t>
      </w:r>
      <w:r w:rsidRPr="00E1379E">
        <w:rPr>
          <w:rFonts w:ascii="Times New Roman" w:eastAsia="Times New Roman" w:hAnsi="Times New Roman" w:cs="Times New Roman"/>
          <w:sz w:val="24"/>
          <w:szCs w:val="24"/>
        </w:rPr>
        <w:t>Precisering van ICCI-advies met betrekking tot de taalwetgeving</w:t>
      </w:r>
    </w:p>
    <w:p w14:paraId="249CF010" w14:textId="77777777" w:rsidR="008161A0" w:rsidRDefault="008161A0" w:rsidP="008161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29 juni 2015: </w:t>
      </w:r>
      <w:r w:rsidRPr="00E1379E">
        <w:rPr>
          <w:rFonts w:ascii="Times New Roman" w:eastAsia="Times New Roman" w:hAnsi="Times New Roman" w:cs="Times New Roman"/>
          <w:sz w:val="24"/>
          <w:szCs w:val="24"/>
        </w:rPr>
        <w:t>Controleverklaring van de commissaris – wijziging van referentiekader (ISA normen)</w:t>
      </w:r>
    </w:p>
    <w:p w14:paraId="249CF011" w14:textId="77777777" w:rsidR="008161A0" w:rsidRDefault="008161A0" w:rsidP="008161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Advies van 10 april 2014: I</w:t>
      </w:r>
      <w:r w:rsidRPr="00E1379E">
        <w:rPr>
          <w:rFonts w:ascii="Times New Roman" w:eastAsia="Times New Roman" w:hAnsi="Times New Roman" w:cs="Times New Roman"/>
          <w:sz w:val="24"/>
          <w:szCs w:val="24"/>
        </w:rPr>
        <w:t>mpact van taalwetgeving op commissarisverslagen en op auditverslagen in het algemeen</w:t>
      </w:r>
    </w:p>
    <w:p w14:paraId="249CF012" w14:textId="77777777" w:rsidR="00B146DB" w:rsidRPr="00B146DB" w:rsidRDefault="00B146DB" w:rsidP="002E1729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2 juli 2013: </w:t>
      </w:r>
      <w:r w:rsidRPr="00DD3A7D">
        <w:rPr>
          <w:rFonts w:ascii="Times New Roman" w:eastAsia="Times New Roman" w:hAnsi="Times New Roman" w:cs="Times New Roman"/>
          <w:sz w:val="24"/>
          <w:szCs w:val="24"/>
        </w:rPr>
        <w:t>Hanteren van een gemeenschappelijke (merk)naam om te worden benoemd als commissaris/bedrijfsrevisor</w:t>
      </w:r>
    </w:p>
    <w:p w14:paraId="249CF013" w14:textId="77777777" w:rsidR="002E1729" w:rsidRDefault="002E1729" w:rsidP="002E1729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2E1729">
        <w:rPr>
          <w:rFonts w:ascii="Times New Roman" w:eastAsia="Calibri" w:hAnsi="Times New Roman" w:cs="Times New Roman"/>
          <w:sz w:val="24"/>
          <w:szCs w:val="24"/>
          <w:lang w:val="fr-BE"/>
        </w:rPr>
        <w:t>Avis du 3 avril 2013 : Rapport du commissaire sur une société dont la faillite est inévitable suite à une cession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2E1729">
        <w:rPr>
          <w:rFonts w:ascii="Times New Roman" w:eastAsia="Calibri" w:hAnsi="Times New Roman" w:cs="Times New Roman"/>
          <w:sz w:val="24"/>
          <w:szCs w:val="24"/>
          <w:lang w:val="fr-BE"/>
        </w:rPr>
        <w:t>actif dans le cadre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2E1729">
        <w:rPr>
          <w:rFonts w:ascii="Times New Roman" w:eastAsia="Calibri" w:hAnsi="Times New Roman" w:cs="Times New Roman"/>
          <w:sz w:val="24"/>
          <w:szCs w:val="24"/>
          <w:lang w:val="fr-BE"/>
        </w:rPr>
        <w:t>une procédure de réorganisation judiciaire</w:t>
      </w:r>
    </w:p>
    <w:p w14:paraId="249CF014" w14:textId="77777777" w:rsidR="002E1729" w:rsidRDefault="002E1729" w:rsidP="002E1729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du 10 août 2012 : </w:t>
      </w:r>
      <w:r w:rsidRPr="002E1729">
        <w:rPr>
          <w:rFonts w:ascii="Times New Roman" w:eastAsia="Calibri" w:hAnsi="Times New Roman" w:cs="Times New Roman"/>
          <w:sz w:val="24"/>
          <w:szCs w:val="24"/>
          <w:lang w:val="fr-BE"/>
        </w:rPr>
        <w:t>Rectification des comptes annuels 2011 – rapport du commissaire</w:t>
      </w:r>
    </w:p>
    <w:p w14:paraId="249CF015" w14:textId="77777777" w:rsidR="002E1729" w:rsidRDefault="002E1729" w:rsidP="002E1729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du 21 décembre 2011 : </w:t>
      </w:r>
      <w:r w:rsidRPr="002E1729">
        <w:rPr>
          <w:rFonts w:ascii="Times New Roman" w:eastAsia="Calibri" w:hAnsi="Times New Roman" w:cs="Times New Roman"/>
          <w:sz w:val="24"/>
          <w:szCs w:val="24"/>
          <w:lang w:val="fr-BE"/>
        </w:rPr>
        <w:t>Rapport du commissaire sur les comptes annuels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2E1729">
        <w:rPr>
          <w:rFonts w:ascii="Times New Roman" w:eastAsia="Calibri" w:hAnsi="Times New Roman" w:cs="Times New Roman"/>
          <w:sz w:val="24"/>
          <w:szCs w:val="24"/>
          <w:lang w:val="fr-BE"/>
        </w:rPr>
        <w:t>une société en discontinuité</w:t>
      </w:r>
    </w:p>
    <w:p w14:paraId="249CF016" w14:textId="77777777" w:rsidR="00B146DB" w:rsidRDefault="00B146DB" w:rsidP="00B146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31 maart 2011: </w:t>
      </w:r>
      <w:r w:rsidRPr="00DD3A7D">
        <w:rPr>
          <w:rFonts w:ascii="Times New Roman" w:eastAsia="Times New Roman" w:hAnsi="Times New Roman" w:cs="Times New Roman"/>
          <w:sz w:val="24"/>
          <w:szCs w:val="24"/>
        </w:rPr>
        <w:t>Commissarisverslag en systematische laattijdige neerlegging van de jaarrekening</w:t>
      </w:r>
    </w:p>
    <w:p w14:paraId="249CF017" w14:textId="77777777" w:rsidR="00B146DB" w:rsidRDefault="00B146DB" w:rsidP="00B146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23 november 2010: </w:t>
      </w:r>
      <w:r w:rsidRPr="00DD3A7D">
        <w:rPr>
          <w:rFonts w:ascii="Times New Roman" w:eastAsia="Times New Roman" w:hAnsi="Times New Roman" w:cs="Times New Roman"/>
          <w:sz w:val="24"/>
          <w:szCs w:val="24"/>
        </w:rPr>
        <w:t>Gevolgen op het commissarisverslag van het niet-naleven van de procedure bij een belangenconflict</w:t>
      </w:r>
    </w:p>
    <w:p w14:paraId="249CF018" w14:textId="77777777" w:rsidR="00B146DB" w:rsidRDefault="00B146DB" w:rsidP="00B146DB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du 16 août 2010 : </w:t>
      </w:r>
      <w:r w:rsidRPr="00B146D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Dépôt à la Banque </w:t>
      </w:r>
      <w:r w:rsidR="00F474C6">
        <w:rPr>
          <w:rFonts w:ascii="Times New Roman" w:eastAsia="Calibri" w:hAnsi="Times New Roman" w:cs="Times New Roman"/>
          <w:sz w:val="24"/>
          <w:szCs w:val="24"/>
          <w:lang w:val="fr-BE"/>
        </w:rPr>
        <w:t>n</w:t>
      </w:r>
      <w:r w:rsidRPr="00B146DB">
        <w:rPr>
          <w:rFonts w:ascii="Times New Roman" w:eastAsia="Calibri" w:hAnsi="Times New Roman" w:cs="Times New Roman"/>
          <w:sz w:val="24"/>
          <w:szCs w:val="24"/>
          <w:lang w:val="fr-BE"/>
        </w:rPr>
        <w:t>ationale de Belgique du scan du rapport de commissaire signé</w:t>
      </w:r>
    </w:p>
    <w:p w14:paraId="249CF019" w14:textId="77777777" w:rsidR="00B146DB" w:rsidRDefault="00B146DB" w:rsidP="00B146DB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du 5 août 2010 : </w:t>
      </w:r>
      <w:r w:rsidRPr="00B146D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Dépôt à la Banque </w:t>
      </w:r>
      <w:r w:rsidR="00F474C6">
        <w:rPr>
          <w:rFonts w:ascii="Times New Roman" w:eastAsia="Calibri" w:hAnsi="Times New Roman" w:cs="Times New Roman"/>
          <w:sz w:val="24"/>
          <w:szCs w:val="24"/>
          <w:lang w:val="fr-BE"/>
        </w:rPr>
        <w:t>n</w:t>
      </w:r>
      <w:r w:rsidRPr="00B146DB">
        <w:rPr>
          <w:rFonts w:ascii="Times New Roman" w:eastAsia="Calibri" w:hAnsi="Times New Roman" w:cs="Times New Roman"/>
          <w:sz w:val="24"/>
          <w:szCs w:val="24"/>
          <w:lang w:val="fr-BE"/>
        </w:rPr>
        <w:t>ationale de Belgique du scan du rapport de commissaire signé</w:t>
      </w:r>
    </w:p>
    <w:p w14:paraId="249CF01A" w14:textId="77777777" w:rsidR="002E1729" w:rsidRDefault="00B146DB" w:rsidP="00B146DB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du 30 juin 2010 : </w:t>
      </w:r>
      <w:r w:rsidRPr="00B146DB">
        <w:rPr>
          <w:rFonts w:ascii="Times New Roman" w:eastAsia="Calibri" w:hAnsi="Times New Roman" w:cs="Times New Roman"/>
          <w:sz w:val="24"/>
          <w:szCs w:val="24"/>
          <w:lang w:val="fr-BE"/>
        </w:rPr>
        <w:t>Rapport de carence et fin du mandat</w:t>
      </w:r>
    </w:p>
    <w:p w14:paraId="249CF01B" w14:textId="77777777" w:rsidR="00292CB1" w:rsidRDefault="00292CB1" w:rsidP="00292C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19 mei 2010: </w:t>
      </w:r>
      <w:r w:rsidRPr="00DD3A7D">
        <w:rPr>
          <w:rFonts w:ascii="Times New Roman" w:eastAsia="Times New Roman" w:hAnsi="Times New Roman" w:cs="Times New Roman"/>
          <w:sz w:val="24"/>
          <w:szCs w:val="24"/>
        </w:rPr>
        <w:t>Weigering vanwege cliënt van publicatie commissarisverslag</w:t>
      </w:r>
    </w:p>
    <w:p w14:paraId="249CF01C" w14:textId="77777777" w:rsidR="00292CB1" w:rsidRDefault="00292CB1" w:rsidP="00292C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7D">
        <w:rPr>
          <w:rFonts w:ascii="Times New Roman" w:eastAsia="Times New Roman" w:hAnsi="Times New Roman" w:cs="Times New Roman"/>
          <w:sz w:val="24"/>
          <w:szCs w:val="24"/>
        </w:rPr>
        <w:t>Advies van 30 april 2010: Toepassing van artikel 143 van het Wetboek van vennootschappen</w:t>
      </w:r>
    </w:p>
    <w:p w14:paraId="249CF01D" w14:textId="77777777" w:rsidR="00292CB1" w:rsidRDefault="00292CB1" w:rsidP="00292C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7 juli 2009: </w:t>
      </w:r>
      <w:r w:rsidRPr="00DD3A7D">
        <w:rPr>
          <w:rFonts w:ascii="Times New Roman" w:eastAsia="Times New Roman" w:hAnsi="Times New Roman" w:cs="Times New Roman"/>
          <w:sz w:val="24"/>
          <w:szCs w:val="24"/>
        </w:rPr>
        <w:t>Uitstel van algemene vergadering</w:t>
      </w:r>
    </w:p>
    <w:p w14:paraId="249CF01E" w14:textId="77777777" w:rsidR="00292CB1" w:rsidRPr="00935A85" w:rsidRDefault="00292CB1" w:rsidP="00292C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5">
        <w:rPr>
          <w:rFonts w:ascii="Times New Roman" w:eastAsia="Times New Roman" w:hAnsi="Times New Roman" w:cs="Times New Roman"/>
          <w:sz w:val="24"/>
          <w:szCs w:val="24"/>
        </w:rPr>
        <w:t>Advies van 25 mei 2009: Verbetering van een jaarrekening na neerlegging</w:t>
      </w:r>
    </w:p>
    <w:p w14:paraId="249CF01F" w14:textId="77777777" w:rsidR="00B146DB" w:rsidRPr="00935A85" w:rsidRDefault="00B146DB" w:rsidP="00B146DB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935A85">
        <w:rPr>
          <w:rFonts w:ascii="Times New Roman" w:eastAsia="Calibri" w:hAnsi="Times New Roman" w:cs="Times New Roman"/>
          <w:sz w:val="24"/>
          <w:szCs w:val="24"/>
          <w:lang w:val="fr-BE"/>
        </w:rPr>
        <w:t>Avis du 5 juin 2008 : Remise tardive du rapport de gestion par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935A85">
        <w:rPr>
          <w:rFonts w:ascii="Times New Roman" w:eastAsia="Calibri" w:hAnsi="Times New Roman" w:cs="Times New Roman"/>
          <w:sz w:val="24"/>
          <w:szCs w:val="24"/>
          <w:lang w:val="fr-BE"/>
        </w:rPr>
        <w:t>organe de gestion</w:t>
      </w:r>
    </w:p>
    <w:p w14:paraId="249CF020" w14:textId="77777777" w:rsidR="00292CB1" w:rsidRPr="00935A85" w:rsidRDefault="00292CB1" w:rsidP="00292C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5">
        <w:rPr>
          <w:rFonts w:ascii="Times New Roman" w:eastAsia="Times New Roman" w:hAnsi="Times New Roman" w:cs="Times New Roman"/>
          <w:sz w:val="24"/>
          <w:szCs w:val="24"/>
        </w:rPr>
        <w:t>Advies van 21 mei 2008: Commissarisverslag in het kader van de vereffening van een naamloze vennootschap</w:t>
      </w:r>
    </w:p>
    <w:p w14:paraId="249CF021" w14:textId="77777777" w:rsidR="00292CB1" w:rsidRPr="00935A85" w:rsidRDefault="00292CB1" w:rsidP="00292CB1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A85">
        <w:rPr>
          <w:rFonts w:ascii="Times New Roman" w:eastAsia="Times New Roman" w:hAnsi="Times New Roman" w:cs="Times New Roman"/>
          <w:sz w:val="24"/>
          <w:szCs w:val="24"/>
        </w:rPr>
        <w:t>Advies van 29 april 2008: Toepassing van artikel 96 van het Wetboek van vennootschappen in een vennootschap in vereffening</w:t>
      </w:r>
    </w:p>
    <w:p w14:paraId="249CF022" w14:textId="77777777" w:rsidR="00B146DB" w:rsidRPr="00935A85" w:rsidRDefault="00B146DB" w:rsidP="00B146DB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935A85">
        <w:rPr>
          <w:rFonts w:ascii="Times New Roman" w:eastAsia="Calibri" w:hAnsi="Times New Roman" w:cs="Times New Roman"/>
          <w:sz w:val="24"/>
          <w:szCs w:val="24"/>
          <w:lang w:val="fr-BE"/>
        </w:rPr>
        <w:t>Avis du 19 septembre 2007 : Le rapport du commissaire et le rapport de gestion</w:t>
      </w:r>
    </w:p>
    <w:p w14:paraId="249CF023" w14:textId="77777777" w:rsidR="00B146DB" w:rsidRDefault="00B146DB" w:rsidP="00292CB1">
      <w:pPr>
        <w:pStyle w:val="ListParagraph"/>
        <w:numPr>
          <w:ilvl w:val="0"/>
          <w:numId w:val="7"/>
        </w:numPr>
        <w:spacing w:after="360"/>
        <w:ind w:left="1145" w:hanging="357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du 31 juillet 2007 : </w:t>
      </w:r>
      <w:r w:rsidRPr="00B146DB">
        <w:rPr>
          <w:rFonts w:ascii="Times New Roman" w:eastAsia="Calibri" w:hAnsi="Times New Roman" w:cs="Times New Roman"/>
          <w:sz w:val="24"/>
          <w:szCs w:val="24"/>
          <w:lang w:val="fr-BE"/>
        </w:rPr>
        <w:t>Absence de comptes annuels dans une fondation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B146DB">
        <w:rPr>
          <w:rFonts w:ascii="Times New Roman" w:eastAsia="Calibri" w:hAnsi="Times New Roman" w:cs="Times New Roman"/>
          <w:sz w:val="24"/>
          <w:szCs w:val="24"/>
          <w:lang w:val="fr-BE"/>
        </w:rPr>
        <w:t>utilité publique</w:t>
      </w:r>
    </w:p>
    <w:p w14:paraId="249CF024" w14:textId="77777777" w:rsidR="00292CB1" w:rsidRDefault="00292CB1" w:rsidP="00292CB1">
      <w:pPr>
        <w:pStyle w:val="ListParagraph"/>
        <w:spacing w:after="360"/>
        <w:ind w:left="1145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F025" w14:textId="77777777" w:rsidR="008161A0" w:rsidRPr="008161A0" w:rsidRDefault="008161A0" w:rsidP="008161A0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8161A0">
        <w:rPr>
          <w:rFonts w:ascii="Times New Roman" w:eastAsia="Times New Roman" w:hAnsi="Times New Roman" w:cs="Times New Roman"/>
          <w:b/>
          <w:sz w:val="24"/>
          <w:szCs w:val="24"/>
          <w:lang w:val="fr-BE"/>
        </w:rPr>
        <w:t>Frequently Asked Questions (FAQs) relatives au rapport du commissaire publiées sur le site de l’ICCI</w:t>
      </w:r>
    </w:p>
    <w:p w14:paraId="249CF026" w14:textId="77777777" w:rsidR="008161A0" w:rsidRPr="008161A0" w:rsidRDefault="008161A0" w:rsidP="008161A0">
      <w:pPr>
        <w:pStyle w:val="ListParagraph"/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</w:p>
    <w:p w14:paraId="249CF027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I.C. Le rapport de gestion fait-il partie des comptes annuels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(19/06/2015)</w:t>
      </w:r>
    </w:p>
    <w:p w14:paraId="249CF028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I.C.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Faut-il se référer uniquement aux normes nationales même si la mission est exécutée conformément aux normes ISA ou peut-on également se référer aux normes ISA?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(19/06/2015)</w:t>
      </w:r>
    </w:p>
    <w:p w14:paraId="249CF029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I.C.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En matière de continuité de l'exploitation des entreprises, la norme ISA 570 modifie-t-elle l'approche du commissaire suivie antérieurement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(19/06/2015)</w:t>
      </w:r>
    </w:p>
    <w:p w14:paraId="249CF02A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I.C.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Les normes ISA ont-elles modifié l'approche du commissaire en matière de chiffres correspondants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(19/06/2015)</w:t>
      </w:r>
    </w:p>
    <w:p w14:paraId="249CF02B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VI.B.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Qu’est-ce qu’une opinion sans réserve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(15/05/2015)</w:t>
      </w:r>
    </w:p>
    <w:p w14:paraId="249CF02C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VI.B.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Qu’est-ce qu’une opinion avec réserve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(15/05/2015)</w:t>
      </w:r>
    </w:p>
    <w:p w14:paraId="249CF02D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VI.B.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Qu’entend-on par opinion d’abstention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(15/05/2015)</w:t>
      </w:r>
    </w:p>
    <w:p w14:paraId="249CF02E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VI.B.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Qu’est-ce qu’une opinion négative (défavorable)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(15/05/2015)</w:t>
      </w:r>
    </w:p>
    <w:p w14:paraId="249CF02F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VI.B.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Quel est l’impact sur le rapport du commissaire d’un dépôt systématiquement tardif auprès de la Banque nationale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(15/05/2015)</w:t>
      </w:r>
    </w:p>
    <w:p w14:paraId="249CF030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VI.B.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Quelles actions un commissaire peut-il entreprendre lorsqu’un client refuse le dépôt et la publication du rapport du commissaire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(15/05/2015)</w:t>
      </w:r>
    </w:p>
    <w:p w14:paraId="249CF031" w14:textId="77777777" w:rsidR="00AB34FC" w:rsidRDefault="00AB34FC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FAQ COVID-19 : Going Concern (26.03.2020)</w:t>
      </w:r>
    </w:p>
    <w:p w14:paraId="249CF032" w14:textId="77777777" w:rsidR="00ED6CB0" w:rsidRDefault="00AB34FC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FAQ COVID-19 : </w:t>
      </w:r>
      <w:r w:rsidR="00ED6CB0">
        <w:rPr>
          <w:rFonts w:ascii="Times New Roman" w:eastAsia="Calibri" w:hAnsi="Times New Roman" w:cs="Times New Roman"/>
          <w:sz w:val="24"/>
          <w:szCs w:val="24"/>
          <w:lang w:val="fr-BE"/>
        </w:rPr>
        <w:t>Comment traiter les conséquences du COVID-19 dans le rapport du commissaire sur l’exercice clos le 31/12/2019 ? (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10.04.2020)</w:t>
      </w:r>
    </w:p>
    <w:p w14:paraId="249CF033" w14:textId="77777777" w:rsidR="00AB34FC" w:rsidRPr="008161A0" w:rsidRDefault="00AB34FC" w:rsidP="00AB34FC">
      <w:pPr>
        <w:pStyle w:val="ListParagraph"/>
        <w:ind w:left="1146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F034" w14:textId="77777777" w:rsidR="008161A0" w:rsidRPr="008161A0" w:rsidRDefault="008161A0" w:rsidP="008161A0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</w:p>
    <w:p w14:paraId="249CF035" w14:textId="77777777" w:rsidR="00292CB1" w:rsidRPr="008161A0" w:rsidRDefault="00292CB1" w:rsidP="008161A0">
      <w:pPr>
        <w:pStyle w:val="ListParagraph"/>
        <w:jc w:val="center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8161A0">
        <w:rPr>
          <w:rFonts w:ascii="Times New Roman" w:eastAsia="Calibri" w:hAnsi="Times New Roman" w:cs="Times New Roman"/>
          <w:b/>
          <w:sz w:val="24"/>
          <w:szCs w:val="24"/>
          <w:lang w:val="fr-BE"/>
        </w:rPr>
        <w:t>*</w:t>
      </w:r>
      <w:r w:rsidRPr="008161A0">
        <w:rPr>
          <w:rFonts w:ascii="Times New Roman" w:eastAsia="Calibri" w:hAnsi="Times New Roman" w:cs="Times New Roman"/>
          <w:b/>
          <w:sz w:val="24"/>
          <w:szCs w:val="24"/>
          <w:lang w:val="fr-BE"/>
        </w:rPr>
        <w:tab/>
      </w:r>
      <w:r w:rsidRPr="008161A0">
        <w:rPr>
          <w:rFonts w:ascii="Times New Roman" w:eastAsia="Calibri" w:hAnsi="Times New Roman" w:cs="Times New Roman"/>
          <w:b/>
          <w:sz w:val="24"/>
          <w:szCs w:val="24"/>
          <w:lang w:val="fr-BE"/>
        </w:rPr>
        <w:tab/>
        <w:t>*</w:t>
      </w:r>
    </w:p>
    <w:p w14:paraId="249CF036" w14:textId="77777777" w:rsidR="002E1729" w:rsidRPr="00EB370D" w:rsidRDefault="00292CB1" w:rsidP="008161A0">
      <w:pPr>
        <w:pStyle w:val="ListParagraph"/>
        <w:autoSpaceDE w:val="0"/>
        <w:autoSpaceDN w:val="0"/>
        <w:adjustRightInd w:val="0"/>
        <w:spacing w:after="0" w:line="240" w:lineRule="auto"/>
        <w:ind w:left="4416" w:firstLine="540"/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8161A0">
        <w:rPr>
          <w:rFonts w:ascii="Times New Roman" w:eastAsia="Times New Roman" w:hAnsi="Times New Roman" w:cs="Times New Roman"/>
          <w:sz w:val="24"/>
          <w:szCs w:val="24"/>
          <w:lang w:val="fr-BE"/>
        </w:rPr>
        <w:t>*</w:t>
      </w:r>
    </w:p>
    <w:sectPr w:rsidR="002E1729" w:rsidRPr="00EB370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CF039" w14:textId="77777777" w:rsidR="002E78B8" w:rsidRDefault="002E78B8" w:rsidP="002E78B8">
      <w:pPr>
        <w:spacing w:after="0" w:line="240" w:lineRule="auto"/>
      </w:pPr>
      <w:r>
        <w:separator/>
      </w:r>
    </w:p>
  </w:endnote>
  <w:endnote w:type="continuationSeparator" w:id="0">
    <w:p w14:paraId="249CF03A" w14:textId="77777777" w:rsidR="002E78B8" w:rsidRDefault="002E78B8" w:rsidP="002E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CF03E" w14:textId="21B00A1E" w:rsidR="002E78B8" w:rsidRPr="007756EA" w:rsidRDefault="007756EA">
    <w:pPr>
      <w:pStyle w:val="Footer"/>
      <w:rPr>
        <w:lang w:val="fr-BE"/>
      </w:rPr>
    </w:pPr>
    <w:r>
      <w:rPr>
        <w:lang w:val="fr-BE"/>
      </w:rPr>
      <w:t>Annexe 8</w:t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fldChar w:fldCharType="begin"/>
    </w:r>
    <w:r>
      <w:rPr>
        <w:lang w:val="fr-BE"/>
      </w:rPr>
      <w:instrText xml:space="preserve"> PAGE   \* MERGEFORMAT </w:instrText>
    </w:r>
    <w:r>
      <w:rPr>
        <w:lang w:val="fr-BE"/>
      </w:rPr>
      <w:fldChar w:fldCharType="separate"/>
    </w:r>
    <w:r>
      <w:rPr>
        <w:noProof/>
        <w:lang w:val="fr-BE"/>
      </w:rPr>
      <w:t>1</w:t>
    </w:r>
    <w:r>
      <w:rPr>
        <w:lang w:val="fr-BE"/>
      </w:rPr>
      <w:fldChar w:fldCharType="end"/>
    </w:r>
    <w:r>
      <w:rPr>
        <w:lang w:val="fr-BE"/>
      </w:rPr>
      <w:t>/</w:t>
    </w:r>
    <w:r>
      <w:rPr>
        <w:lang w:val="fr-BE"/>
      </w:rPr>
      <w:fldChar w:fldCharType="begin"/>
    </w:r>
    <w:r>
      <w:rPr>
        <w:lang w:val="fr-BE"/>
      </w:rPr>
      <w:instrText xml:space="preserve"> NUMPAGES   \* MERGEFORMAT </w:instrText>
    </w:r>
    <w:r>
      <w:rPr>
        <w:lang w:val="fr-BE"/>
      </w:rPr>
      <w:fldChar w:fldCharType="separate"/>
    </w:r>
    <w:r>
      <w:rPr>
        <w:noProof/>
        <w:lang w:val="fr-BE"/>
      </w:rPr>
      <w:t>7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CF037" w14:textId="77777777" w:rsidR="002E78B8" w:rsidRDefault="002E78B8" w:rsidP="002E78B8">
      <w:pPr>
        <w:spacing w:after="0" w:line="240" w:lineRule="auto"/>
      </w:pPr>
      <w:r>
        <w:separator/>
      </w:r>
    </w:p>
  </w:footnote>
  <w:footnote w:type="continuationSeparator" w:id="0">
    <w:p w14:paraId="249CF038" w14:textId="77777777" w:rsidR="002E78B8" w:rsidRDefault="002E78B8" w:rsidP="002E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1C8"/>
    <w:multiLevelType w:val="hybridMultilevel"/>
    <w:tmpl w:val="9566D1BC"/>
    <w:lvl w:ilvl="0" w:tplc="98A8D22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711D82"/>
    <w:multiLevelType w:val="hybridMultilevel"/>
    <w:tmpl w:val="6914C0BC"/>
    <w:lvl w:ilvl="0" w:tplc="426E0C9E">
      <w:start w:val="1"/>
      <w:numFmt w:val="bullet"/>
      <w:lvlText w:val=""/>
      <w:lvlJc w:val="left"/>
      <w:pPr>
        <w:tabs>
          <w:tab w:val="num" w:pos="-31680"/>
        </w:tabs>
        <w:ind w:left="567" w:hanging="567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031B"/>
    <w:multiLevelType w:val="hybridMultilevel"/>
    <w:tmpl w:val="B2D892E6"/>
    <w:lvl w:ilvl="0" w:tplc="BA40D6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1BF"/>
    <w:multiLevelType w:val="hybridMultilevel"/>
    <w:tmpl w:val="0128C360"/>
    <w:lvl w:ilvl="0" w:tplc="BCDE2A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58EC"/>
    <w:multiLevelType w:val="hybridMultilevel"/>
    <w:tmpl w:val="3462002E"/>
    <w:lvl w:ilvl="0" w:tplc="9F4E1342">
      <w:start w:val="1"/>
      <w:numFmt w:val="bullet"/>
      <w:lvlText w:val="*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0D8C"/>
    <w:multiLevelType w:val="hybridMultilevel"/>
    <w:tmpl w:val="2222E226"/>
    <w:lvl w:ilvl="0" w:tplc="98A8D22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B1BB2"/>
    <w:multiLevelType w:val="hybridMultilevel"/>
    <w:tmpl w:val="B5D641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6E00"/>
    <w:multiLevelType w:val="hybridMultilevel"/>
    <w:tmpl w:val="FEFC9420"/>
    <w:lvl w:ilvl="0" w:tplc="98A8D22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14178"/>
    <w:multiLevelType w:val="hybridMultilevel"/>
    <w:tmpl w:val="C62E4D86"/>
    <w:lvl w:ilvl="0" w:tplc="98A8D22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A5447"/>
    <w:multiLevelType w:val="hybridMultilevel"/>
    <w:tmpl w:val="DAA465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CDB"/>
    <w:rsid w:val="000928E5"/>
    <w:rsid w:val="00146E2A"/>
    <w:rsid w:val="0019024F"/>
    <w:rsid w:val="001E138C"/>
    <w:rsid w:val="001F7F07"/>
    <w:rsid w:val="00210C12"/>
    <w:rsid w:val="00292CB1"/>
    <w:rsid w:val="00296628"/>
    <w:rsid w:val="002A2D6E"/>
    <w:rsid w:val="002B7C98"/>
    <w:rsid w:val="002C2444"/>
    <w:rsid w:val="002C4C3B"/>
    <w:rsid w:val="002E1729"/>
    <w:rsid w:val="002E3240"/>
    <w:rsid w:val="002E78B8"/>
    <w:rsid w:val="00365CDB"/>
    <w:rsid w:val="00393477"/>
    <w:rsid w:val="003D34D0"/>
    <w:rsid w:val="003E0FDB"/>
    <w:rsid w:val="003F4C5D"/>
    <w:rsid w:val="00450164"/>
    <w:rsid w:val="00465D65"/>
    <w:rsid w:val="004F7FBA"/>
    <w:rsid w:val="00581BAA"/>
    <w:rsid w:val="005B706B"/>
    <w:rsid w:val="00623AAE"/>
    <w:rsid w:val="006E005D"/>
    <w:rsid w:val="00726C43"/>
    <w:rsid w:val="00767B68"/>
    <w:rsid w:val="007756EA"/>
    <w:rsid w:val="007A390B"/>
    <w:rsid w:val="007B298D"/>
    <w:rsid w:val="007D1588"/>
    <w:rsid w:val="00800C21"/>
    <w:rsid w:val="008026D8"/>
    <w:rsid w:val="008161A0"/>
    <w:rsid w:val="008811A3"/>
    <w:rsid w:val="008F272D"/>
    <w:rsid w:val="00906C18"/>
    <w:rsid w:val="0091234B"/>
    <w:rsid w:val="00935A85"/>
    <w:rsid w:val="0099054C"/>
    <w:rsid w:val="009F519F"/>
    <w:rsid w:val="00A875CA"/>
    <w:rsid w:val="00AB34FC"/>
    <w:rsid w:val="00B146DB"/>
    <w:rsid w:val="00B244B4"/>
    <w:rsid w:val="00B70A77"/>
    <w:rsid w:val="00C36BDB"/>
    <w:rsid w:val="00C6095A"/>
    <w:rsid w:val="00CC17FF"/>
    <w:rsid w:val="00CE0289"/>
    <w:rsid w:val="00D41A36"/>
    <w:rsid w:val="00D914E0"/>
    <w:rsid w:val="00DA2EF8"/>
    <w:rsid w:val="00DB6AF2"/>
    <w:rsid w:val="00DB7E33"/>
    <w:rsid w:val="00E401A0"/>
    <w:rsid w:val="00E54FB7"/>
    <w:rsid w:val="00E666D3"/>
    <w:rsid w:val="00E9715D"/>
    <w:rsid w:val="00EB370D"/>
    <w:rsid w:val="00EC75D2"/>
    <w:rsid w:val="00ED6CB0"/>
    <w:rsid w:val="00F2489C"/>
    <w:rsid w:val="00F36AA6"/>
    <w:rsid w:val="00F474C6"/>
    <w:rsid w:val="00FC4627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249CE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0C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B8"/>
  </w:style>
  <w:style w:type="paragraph" w:styleId="Footer">
    <w:name w:val="footer"/>
    <w:basedOn w:val="Normal"/>
    <w:link w:val="FooterChar"/>
    <w:uiPriority w:val="99"/>
    <w:unhideWhenUsed/>
    <w:rsid w:val="002E7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cci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5" ma:contentTypeDescription="Create a new document." ma:contentTypeScope="" ma:versionID="bd9e09de803e8561fea495414343f6c0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e3ddfb716f0a08eca55f4fdb8fa32a08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86d8d313-957f-44b4-bb66-f96f0d40e904" xsi:nil="true"/>
    <nb xmlns="86d8d313-957f-44b4-bb66-f96f0d40e9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86A7-9D9F-4B69-A147-BA968236CE53}"/>
</file>

<file path=customXml/itemProps2.xml><?xml version="1.0" encoding="utf-8"?>
<ds:datastoreItem xmlns:ds="http://schemas.openxmlformats.org/officeDocument/2006/customXml" ds:itemID="{8EB22E2E-744F-453E-A994-BB8F15875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324CD-583A-4C5B-AE38-6E525F50BF25}">
  <ds:schemaRefs>
    <ds:schemaRef ds:uri="http://schemas.microsoft.com/office/2006/metadata/properties"/>
    <ds:schemaRef ds:uri="http://schemas.microsoft.com/office/infopath/2007/PartnerControls"/>
    <ds:schemaRef ds:uri="86d8d313-957f-44b4-bb66-f96f0d40e904"/>
  </ds:schemaRefs>
</ds:datastoreItem>
</file>

<file path=customXml/itemProps4.xml><?xml version="1.0" encoding="utf-8"?>
<ds:datastoreItem xmlns:ds="http://schemas.openxmlformats.org/officeDocument/2006/customXml" ds:itemID="{EAC519A9-6AD5-4BF6-8C00-63B25310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2246</Words>
  <Characters>12808</Characters>
  <Application>Microsoft Office Word</Application>
  <DocSecurity>0</DocSecurity>
  <Lines>106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2019-03-31T08:50:00Z</dcterms:created>
  <dcterms:modified xsi:type="dcterms:W3CDTF">2021-05-18T14:22:00Z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0x010100CEC57FC6C9899045BC1F6DFCE8170996</vt:lpwstr>
  </property>
  <property fmtid="{D5CDD505-2E9C-101B-9397-08002B2CF9AE}" pid="3" name="Order">
    <vt:r8>4906600</vt:r8>
  </property>
</Properties>
</file>