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473A56C3" w:rsidR="003D648D" w:rsidRPr="00712873" w:rsidRDefault="005C0D9E" w:rsidP="00712873">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rPr>
          <w:sz w:val="32"/>
          <w:szCs w:val="32"/>
        </w:rPr>
      </w:pPr>
      <w:r w:rsidRPr="00712873">
        <w:rPr>
          <w:sz w:val="32"/>
          <w:szCs w:val="32"/>
        </w:rPr>
        <w:t xml:space="preserve">Typologie des risques AML – </w:t>
      </w:r>
      <w:r w:rsidR="00ED21C6">
        <w:rPr>
          <w:sz w:val="32"/>
          <w:szCs w:val="32"/>
        </w:rPr>
        <w:t>NIGHTSHOP/TABACS-ALCOOL/TELEPHONIE</w:t>
      </w:r>
      <w:r w:rsidRPr="00712873">
        <w:rPr>
          <w:sz w:val="32"/>
          <w:szCs w:val="32"/>
        </w:rPr>
        <w:t> :</w:t>
      </w:r>
    </w:p>
    <w:p w14:paraId="19769413" w14:textId="77777777" w:rsidR="00AD5688" w:rsidRPr="00AD5688" w:rsidRDefault="00AD5688" w:rsidP="00AD5688">
      <w:pPr>
        <w:pStyle w:val="Corpsdetexte"/>
        <w:ind w:left="567" w:right="567"/>
        <w:jc w:val="both"/>
        <w:rPr>
          <w:rFonts w:asciiTheme="minorHAnsi" w:eastAsiaTheme="minorHAnsi" w:hAnsiTheme="minorHAnsi" w:cstheme="minorBidi"/>
          <w:sz w:val="16"/>
          <w:szCs w:val="16"/>
          <w:lang w:val="fr-BE"/>
        </w:rPr>
      </w:pPr>
    </w:p>
    <w:p w14:paraId="73B8C8D9" w14:textId="7A7945C5" w:rsidR="00DC17F8" w:rsidRDefault="00DC17F8" w:rsidP="00AD5688">
      <w:pPr>
        <w:pStyle w:val="Corpsdetexte"/>
        <w:ind w:left="567" w:right="567"/>
        <w:jc w:val="both"/>
        <w:rPr>
          <w:rFonts w:asciiTheme="minorHAnsi" w:eastAsiaTheme="minorHAnsi" w:hAnsiTheme="minorHAnsi" w:cstheme="minorBidi"/>
          <w:sz w:val="24"/>
          <w:szCs w:val="24"/>
          <w:lang w:val="fr-BE"/>
        </w:rPr>
      </w:pPr>
      <w:r w:rsidRPr="00DC17F8">
        <w:rPr>
          <w:rFonts w:asciiTheme="minorHAnsi" w:eastAsiaTheme="minorHAnsi" w:hAnsiTheme="minorHAnsi" w:cstheme="minorBidi"/>
          <w:sz w:val="24"/>
          <w:szCs w:val="24"/>
          <w:lang w:val="fr-BE"/>
        </w:rPr>
        <w:t xml:space="preserve">Ce groupe comprend principalement les magasins de nuit, les détaillants en tabac et les commerces de cartes téléphoniques. La seule disposition préventive visant ces commerçants consiste à titre général en l'interdiction d'accepter tout paiement en espèces pour des biens ou des services dont la valeur excède 3.000 EUR. </w:t>
      </w:r>
    </w:p>
    <w:p w14:paraId="43C8160C" w14:textId="6E029270" w:rsidR="00DC17F8" w:rsidRDefault="00ED21C6" w:rsidP="00DC17F8">
      <w:pPr>
        <w:pStyle w:val="Corpsdetexte"/>
        <w:spacing w:line="247" w:lineRule="auto"/>
        <w:ind w:left="567" w:right="567"/>
        <w:jc w:val="both"/>
        <w:rPr>
          <w:rFonts w:asciiTheme="minorHAnsi" w:eastAsiaTheme="minorHAnsi" w:hAnsiTheme="minorHAnsi" w:cstheme="minorBidi"/>
          <w:sz w:val="24"/>
          <w:szCs w:val="24"/>
          <w:lang w:val="fr-BE"/>
        </w:rPr>
      </w:pPr>
      <w:r w:rsidRPr="00DC17F8">
        <w:rPr>
          <w:rFonts w:asciiTheme="minorHAnsi" w:eastAsiaTheme="minorHAnsi" w:hAnsiTheme="minorHAnsi" w:cstheme="minorBidi"/>
          <w:sz w:val="24"/>
          <w:szCs w:val="24"/>
          <w:lang w:val="fr-BE"/>
        </w:rPr>
        <w:t>Les commerçants en cartes de téléphone sont beaucoup utilisés pour commercialiser sur le marché noir des cartes de téléphone issues de circuits de fraude à la TVA.</w:t>
      </w:r>
      <w:r w:rsidR="003D58D0" w:rsidRPr="00DC17F8">
        <w:rPr>
          <w:rFonts w:asciiTheme="minorHAnsi" w:eastAsiaTheme="minorHAnsi" w:hAnsiTheme="minorHAnsi" w:cstheme="minorBidi"/>
          <w:sz w:val="24"/>
          <w:szCs w:val="24"/>
          <w:lang w:val="fr-BE"/>
        </w:rPr>
        <w:t xml:space="preserve"> </w:t>
      </w:r>
    </w:p>
    <w:p w14:paraId="38E7E87D" w14:textId="77777777" w:rsidR="00DC17F8" w:rsidRDefault="00DC17F8" w:rsidP="00DC17F8">
      <w:pPr>
        <w:pStyle w:val="Corpsdetexte"/>
        <w:spacing w:line="247" w:lineRule="auto"/>
        <w:ind w:left="567" w:right="567"/>
        <w:jc w:val="both"/>
        <w:rPr>
          <w:rFonts w:asciiTheme="minorHAnsi" w:eastAsiaTheme="minorHAnsi" w:hAnsiTheme="minorHAnsi" w:cstheme="minorBidi"/>
          <w:sz w:val="24"/>
          <w:szCs w:val="24"/>
          <w:lang w:val="fr-BE"/>
        </w:rPr>
      </w:pPr>
      <w:r w:rsidRPr="00DC17F8">
        <w:rPr>
          <w:rFonts w:asciiTheme="minorHAnsi" w:eastAsiaTheme="minorHAnsi" w:hAnsiTheme="minorHAnsi" w:cstheme="minorBidi"/>
          <w:sz w:val="24"/>
          <w:szCs w:val="24"/>
          <w:lang w:val="fr-BE"/>
        </w:rPr>
        <w:t xml:space="preserve">Par ailleurs, plusieurs commerces sont caractérisés par l'utilisation de faux indépendants ou d'hommes de paille comme gérants. </w:t>
      </w:r>
    </w:p>
    <w:p w14:paraId="1EF4357D" w14:textId="77777777" w:rsidR="00DC17F8" w:rsidRDefault="00DC17F8" w:rsidP="00DC17F8">
      <w:pPr>
        <w:pStyle w:val="Corpsdetexte"/>
        <w:spacing w:line="247" w:lineRule="auto"/>
        <w:ind w:left="567" w:right="567"/>
        <w:jc w:val="both"/>
        <w:rPr>
          <w:rFonts w:asciiTheme="minorHAnsi" w:eastAsiaTheme="minorHAnsi" w:hAnsiTheme="minorHAnsi" w:cstheme="minorBidi"/>
          <w:sz w:val="24"/>
          <w:szCs w:val="24"/>
          <w:lang w:val="fr-BE"/>
        </w:rPr>
      </w:pPr>
      <w:r w:rsidRPr="00DC17F8">
        <w:rPr>
          <w:rFonts w:asciiTheme="minorHAnsi" w:eastAsiaTheme="minorHAnsi" w:hAnsiTheme="minorHAnsi" w:cstheme="minorBidi"/>
          <w:sz w:val="24"/>
          <w:szCs w:val="24"/>
          <w:lang w:val="fr-BE"/>
        </w:rPr>
        <w:t xml:space="preserve">D'autres caractéristiques sont également fréquentes comme le recours à des objets sociaux vagues et étendus, la non-transparence de la comptabilité, le recours au travail en noir et un chiffre d'affaires anormalement élevé par rapport à la réalité économique. </w:t>
      </w:r>
    </w:p>
    <w:p w14:paraId="55D2A30D" w14:textId="33CEC8A5" w:rsidR="00DC17F8" w:rsidRPr="00DC17F8" w:rsidRDefault="00DC17F8" w:rsidP="00DC17F8">
      <w:pPr>
        <w:pStyle w:val="Corpsdetexte"/>
        <w:spacing w:line="247" w:lineRule="auto"/>
        <w:ind w:left="567" w:right="567"/>
        <w:jc w:val="both"/>
        <w:rPr>
          <w:rFonts w:asciiTheme="minorHAnsi" w:eastAsiaTheme="minorHAnsi" w:hAnsiTheme="minorHAnsi" w:cstheme="minorBidi"/>
          <w:sz w:val="24"/>
          <w:szCs w:val="24"/>
          <w:lang w:val="fr-BE"/>
        </w:rPr>
      </w:pPr>
      <w:r w:rsidRPr="00DC17F8">
        <w:rPr>
          <w:rFonts w:asciiTheme="minorHAnsi" w:eastAsiaTheme="minorHAnsi" w:hAnsiTheme="minorHAnsi" w:cstheme="minorBidi"/>
          <w:sz w:val="24"/>
          <w:szCs w:val="24"/>
          <w:lang w:val="fr-BE"/>
        </w:rPr>
        <w:t xml:space="preserve">En outre, la disponibilité en liquidités permet notamment de faire fonctionner des systèmes informels de transferts de fonds (banques souterraines de type </w:t>
      </w:r>
      <w:proofErr w:type="spellStart"/>
      <w:r w:rsidRPr="00DC17F8">
        <w:rPr>
          <w:rFonts w:asciiTheme="minorHAnsi" w:eastAsiaTheme="minorHAnsi" w:hAnsiTheme="minorHAnsi" w:cstheme="minorBidi"/>
          <w:sz w:val="24"/>
          <w:szCs w:val="24"/>
          <w:lang w:val="fr-BE"/>
        </w:rPr>
        <w:t>hawala</w:t>
      </w:r>
      <w:proofErr w:type="spellEnd"/>
      <w:r w:rsidRPr="00DC17F8">
        <w:rPr>
          <w:rFonts w:asciiTheme="minorHAnsi" w:eastAsiaTheme="minorHAnsi" w:hAnsiTheme="minorHAnsi" w:cstheme="minorBidi"/>
          <w:sz w:val="24"/>
          <w:szCs w:val="24"/>
          <w:lang w:val="fr-BE"/>
        </w:rPr>
        <w:t>).</w:t>
      </w:r>
    </w:p>
    <w:p w14:paraId="1ADE3B49" w14:textId="099A40FA" w:rsidR="00CB3977" w:rsidRPr="00F3713F" w:rsidRDefault="00CB3977" w:rsidP="00CB3977">
      <w:pPr>
        <w:pStyle w:val="Paragraphedeliste"/>
        <w:numPr>
          <w:ilvl w:val="0"/>
          <w:numId w:val="1"/>
        </w:numPr>
        <w:spacing w:before="240"/>
        <w:ind w:left="714" w:hanging="357"/>
        <w:rPr>
          <w:color w:val="4472C4" w:themeColor="accent1"/>
          <w:sz w:val="28"/>
          <w:szCs w:val="28"/>
          <w:u w:val="single" w:color="4472C4" w:themeColor="accent1"/>
        </w:rPr>
      </w:pPr>
      <w:r w:rsidRPr="00F3713F">
        <w:rPr>
          <w:color w:val="4472C4" w:themeColor="accent1"/>
          <w:sz w:val="28"/>
          <w:szCs w:val="28"/>
          <w:u w:val="single" w:color="4472C4" w:themeColor="accent1"/>
        </w:rPr>
        <w:t>Principe</w:t>
      </w:r>
    </w:p>
    <w:p w14:paraId="05E21A76" w14:textId="7194F819" w:rsidR="00ED21C6" w:rsidRPr="00CE4820" w:rsidRDefault="00ED21C6" w:rsidP="00CE4820">
      <w:pPr>
        <w:autoSpaceDE w:val="0"/>
        <w:autoSpaceDN w:val="0"/>
        <w:adjustRightInd w:val="0"/>
        <w:spacing w:after="0" w:line="240" w:lineRule="auto"/>
        <w:ind w:left="567" w:right="567"/>
        <w:jc w:val="both"/>
        <w:rPr>
          <w:rFonts w:cstheme="minorHAnsi"/>
          <w:sz w:val="24"/>
          <w:szCs w:val="24"/>
          <w:lang w:val="fr-FR"/>
        </w:rPr>
      </w:pPr>
      <w:r w:rsidRPr="00CE4820">
        <w:rPr>
          <w:rFonts w:cstheme="minorHAnsi"/>
          <w:sz w:val="24"/>
          <w:szCs w:val="24"/>
        </w:rPr>
        <w:t>Les schémas de fraude reposent notamment sur des transactions intracommunautaires et impliquent classiquement l'achat, auprès de grossistes, de cartes téléphoniques qui seront détournées vers le marché noir. Classiquement, d'importants montants en espèces (excédant le million d'euros et provenant probablement du commerce au noir de cartes téléphoniques) sont versés sur le compte d'une société de téléphonie. Dans certains cas, le fournisseur procurant des cartes à de nombreux magasins en Belgique est un "</w:t>
      </w:r>
      <w:proofErr w:type="spellStart"/>
      <w:r w:rsidRPr="00CE4820">
        <w:rPr>
          <w:rFonts w:cstheme="minorHAnsi"/>
          <w:sz w:val="24"/>
          <w:szCs w:val="24"/>
        </w:rPr>
        <w:t>missing</w:t>
      </w:r>
      <w:proofErr w:type="spellEnd"/>
      <w:r w:rsidRPr="00CE4820">
        <w:rPr>
          <w:rFonts w:cstheme="minorHAnsi"/>
          <w:sz w:val="24"/>
          <w:szCs w:val="24"/>
        </w:rPr>
        <w:t xml:space="preserve"> trader" et ne dépose pas de déclaration TVA auprès de l'administration des Finances. Dans ce cas, des éléments </w:t>
      </w:r>
      <w:r w:rsidRPr="00CE4820">
        <w:rPr>
          <w:rFonts w:cstheme="minorHAnsi"/>
          <w:sz w:val="24"/>
          <w:szCs w:val="24"/>
          <w:lang w:val="fr-FR"/>
        </w:rPr>
        <w:t>suspects peuvent attirer l'attention des déclarants et des autorités :</w:t>
      </w:r>
    </w:p>
    <w:p w14:paraId="23590619" w14:textId="294BA8CD" w:rsidR="00495A19" w:rsidRDefault="00495A19" w:rsidP="00ED21C6">
      <w:pPr>
        <w:autoSpaceDE w:val="0"/>
        <w:autoSpaceDN w:val="0"/>
        <w:adjustRightInd w:val="0"/>
        <w:spacing w:after="0" w:line="240" w:lineRule="auto"/>
        <w:ind w:left="567" w:right="567"/>
        <w:rPr>
          <w:rFonts w:ascii="CIDFont+F2" w:hAnsi="CIDFont+F2" w:cs="CIDFont+F2"/>
          <w:sz w:val="23"/>
          <w:szCs w:val="23"/>
          <w:lang w:val="fr-FR"/>
        </w:rPr>
      </w:pPr>
    </w:p>
    <w:p w14:paraId="094580AC" w14:textId="44C92F5B" w:rsidR="00495A19" w:rsidRPr="00CE4820" w:rsidRDefault="00495A19" w:rsidP="00CE4820">
      <w:pPr>
        <w:pStyle w:val="Paragraphedeliste"/>
        <w:numPr>
          <w:ilvl w:val="0"/>
          <w:numId w:val="21"/>
        </w:numPr>
        <w:autoSpaceDE w:val="0"/>
        <w:autoSpaceDN w:val="0"/>
        <w:adjustRightInd w:val="0"/>
        <w:spacing w:after="0" w:line="240" w:lineRule="auto"/>
        <w:ind w:left="1208" w:hanging="357"/>
        <w:jc w:val="both"/>
        <w:rPr>
          <w:rFonts w:cstheme="minorHAnsi"/>
          <w:sz w:val="24"/>
          <w:szCs w:val="24"/>
          <w:lang w:val="fr-FR"/>
        </w:rPr>
      </w:pPr>
      <w:r w:rsidRPr="00CE4820">
        <w:rPr>
          <w:rFonts w:cstheme="minorHAnsi"/>
          <w:sz w:val="24"/>
          <w:szCs w:val="24"/>
          <w:lang w:val="fr-FR"/>
        </w:rPr>
        <w:t>Explosion subite du chiffre d’affaires ;</w:t>
      </w:r>
    </w:p>
    <w:p w14:paraId="4A65EE0C" w14:textId="77777777" w:rsidR="00495A19" w:rsidRPr="00CE4820" w:rsidRDefault="00495A19" w:rsidP="00CE4820">
      <w:pPr>
        <w:pStyle w:val="Paragraphedeliste"/>
        <w:numPr>
          <w:ilvl w:val="0"/>
          <w:numId w:val="21"/>
        </w:numPr>
        <w:autoSpaceDE w:val="0"/>
        <w:autoSpaceDN w:val="0"/>
        <w:adjustRightInd w:val="0"/>
        <w:spacing w:after="0" w:line="240" w:lineRule="auto"/>
        <w:ind w:left="1208" w:hanging="357"/>
        <w:jc w:val="both"/>
        <w:rPr>
          <w:rFonts w:cstheme="minorHAnsi"/>
          <w:sz w:val="24"/>
          <w:szCs w:val="24"/>
          <w:lang w:val="fr-FR"/>
        </w:rPr>
      </w:pPr>
      <w:r w:rsidRPr="00CE4820">
        <w:rPr>
          <w:rFonts w:cstheme="minorHAnsi"/>
          <w:sz w:val="24"/>
          <w:szCs w:val="24"/>
          <w:lang w:val="fr-FR"/>
        </w:rPr>
        <w:t>Utilisation d'un compte ouvert en Belgique pour des opérations enregistrant de</w:t>
      </w:r>
    </w:p>
    <w:p w14:paraId="583EA868" w14:textId="7AFEC659" w:rsidR="00495A19" w:rsidRPr="00CE4820" w:rsidRDefault="005D7057" w:rsidP="00CE4820">
      <w:pPr>
        <w:pStyle w:val="Paragraphedeliste"/>
        <w:autoSpaceDE w:val="0"/>
        <w:autoSpaceDN w:val="0"/>
        <w:adjustRightInd w:val="0"/>
        <w:spacing w:after="0" w:line="240" w:lineRule="auto"/>
        <w:ind w:left="1208"/>
        <w:jc w:val="both"/>
        <w:rPr>
          <w:rFonts w:cstheme="minorHAnsi"/>
          <w:sz w:val="24"/>
          <w:szCs w:val="24"/>
          <w:lang w:val="fr-FR"/>
        </w:rPr>
      </w:pPr>
      <w:r w:rsidRPr="00CE4820">
        <w:rPr>
          <w:rFonts w:cstheme="minorHAnsi"/>
          <w:sz w:val="24"/>
          <w:szCs w:val="24"/>
          <w:lang w:val="fr-FR"/>
        </w:rPr>
        <w:t>m</w:t>
      </w:r>
      <w:r w:rsidR="00495A19" w:rsidRPr="00CE4820">
        <w:rPr>
          <w:rFonts w:cstheme="minorHAnsi"/>
          <w:sz w:val="24"/>
          <w:szCs w:val="24"/>
          <w:lang w:val="fr-FR"/>
        </w:rPr>
        <w:t>anière exclusive, tant au débit qu'au crédit, des opérations avec un Etat tiers déterminé ;</w:t>
      </w:r>
    </w:p>
    <w:p w14:paraId="76CF7D29" w14:textId="77777777" w:rsidR="00495A19" w:rsidRPr="00CE4820" w:rsidRDefault="00495A19" w:rsidP="00CE4820">
      <w:pPr>
        <w:pStyle w:val="Paragraphedeliste"/>
        <w:numPr>
          <w:ilvl w:val="0"/>
          <w:numId w:val="21"/>
        </w:numPr>
        <w:autoSpaceDE w:val="0"/>
        <w:autoSpaceDN w:val="0"/>
        <w:adjustRightInd w:val="0"/>
        <w:spacing w:after="0" w:line="240" w:lineRule="auto"/>
        <w:ind w:left="1208" w:hanging="357"/>
        <w:jc w:val="both"/>
        <w:rPr>
          <w:rFonts w:cstheme="minorHAnsi"/>
          <w:sz w:val="24"/>
          <w:szCs w:val="24"/>
          <w:lang w:val="fr-FR"/>
        </w:rPr>
      </w:pPr>
      <w:r w:rsidRPr="00CE4820">
        <w:rPr>
          <w:rFonts w:cstheme="minorHAnsi"/>
          <w:sz w:val="24"/>
          <w:szCs w:val="24"/>
          <w:lang w:val="fr-FR"/>
        </w:rPr>
        <w:t>Hébergement par une société de domiciliation ou dans une habitation privée ;</w:t>
      </w:r>
    </w:p>
    <w:p w14:paraId="050577A0" w14:textId="66EEC3FB" w:rsidR="00495A19" w:rsidRPr="00CE4820" w:rsidRDefault="00495A19" w:rsidP="00CE4820">
      <w:pPr>
        <w:pStyle w:val="Paragraphedeliste"/>
        <w:numPr>
          <w:ilvl w:val="0"/>
          <w:numId w:val="21"/>
        </w:numPr>
        <w:autoSpaceDE w:val="0"/>
        <w:autoSpaceDN w:val="0"/>
        <w:adjustRightInd w:val="0"/>
        <w:spacing w:after="0" w:line="240" w:lineRule="auto"/>
        <w:ind w:left="1208" w:hanging="357"/>
        <w:jc w:val="both"/>
        <w:rPr>
          <w:rFonts w:cstheme="minorHAnsi"/>
          <w:sz w:val="24"/>
          <w:szCs w:val="24"/>
          <w:lang w:val="fr-FR"/>
        </w:rPr>
      </w:pPr>
      <w:r w:rsidRPr="00CE4820">
        <w:rPr>
          <w:rFonts w:cstheme="minorHAnsi"/>
          <w:sz w:val="24"/>
          <w:szCs w:val="24"/>
          <w:lang w:val="fr-FR"/>
        </w:rPr>
        <w:t>Déclaration fiscale ne comportant aucune mention d'immobilisation immobilière ou mobilière, ni aucun salaire ;</w:t>
      </w:r>
    </w:p>
    <w:p w14:paraId="3DCAF8B6" w14:textId="77777777" w:rsidR="00495A19" w:rsidRPr="00CE4820" w:rsidRDefault="00495A19" w:rsidP="00CE4820">
      <w:pPr>
        <w:pStyle w:val="Paragraphedeliste"/>
        <w:numPr>
          <w:ilvl w:val="0"/>
          <w:numId w:val="21"/>
        </w:numPr>
        <w:autoSpaceDE w:val="0"/>
        <w:autoSpaceDN w:val="0"/>
        <w:adjustRightInd w:val="0"/>
        <w:spacing w:after="0" w:line="240" w:lineRule="auto"/>
        <w:ind w:left="1208" w:hanging="357"/>
        <w:jc w:val="both"/>
        <w:rPr>
          <w:rFonts w:cstheme="minorHAnsi"/>
          <w:sz w:val="24"/>
          <w:szCs w:val="24"/>
          <w:lang w:val="fr-FR"/>
        </w:rPr>
      </w:pPr>
      <w:r w:rsidRPr="00CE4820">
        <w:rPr>
          <w:rFonts w:cstheme="minorHAnsi"/>
          <w:sz w:val="24"/>
          <w:szCs w:val="24"/>
          <w:lang w:val="fr-FR"/>
        </w:rPr>
        <w:t>Absence de succursale ou d'entrepôt ;</w:t>
      </w:r>
    </w:p>
    <w:p w14:paraId="2EB431D0" w14:textId="77777777" w:rsidR="00495A19" w:rsidRPr="00CE4820" w:rsidRDefault="00495A19" w:rsidP="00CE4820">
      <w:pPr>
        <w:pStyle w:val="Paragraphedeliste"/>
        <w:numPr>
          <w:ilvl w:val="0"/>
          <w:numId w:val="21"/>
        </w:numPr>
        <w:autoSpaceDE w:val="0"/>
        <w:autoSpaceDN w:val="0"/>
        <w:adjustRightInd w:val="0"/>
        <w:spacing w:after="0" w:line="240" w:lineRule="auto"/>
        <w:ind w:left="1208" w:hanging="357"/>
        <w:jc w:val="both"/>
        <w:rPr>
          <w:rFonts w:cstheme="minorHAnsi"/>
          <w:sz w:val="24"/>
          <w:szCs w:val="24"/>
          <w:lang w:val="fr-FR"/>
        </w:rPr>
      </w:pPr>
      <w:r w:rsidRPr="00CE4820">
        <w:rPr>
          <w:rFonts w:cstheme="minorHAnsi"/>
          <w:sz w:val="24"/>
          <w:szCs w:val="24"/>
          <w:lang w:val="fr-FR"/>
        </w:rPr>
        <w:t>Aucune immatriculation de véhicule au nom de la société ;</w:t>
      </w:r>
    </w:p>
    <w:p w14:paraId="56979165" w14:textId="4D1BFF8F" w:rsidR="00495A19" w:rsidRDefault="00495A19" w:rsidP="00CE4820">
      <w:pPr>
        <w:pStyle w:val="Paragraphedeliste"/>
        <w:numPr>
          <w:ilvl w:val="0"/>
          <w:numId w:val="21"/>
        </w:numPr>
        <w:autoSpaceDE w:val="0"/>
        <w:autoSpaceDN w:val="0"/>
        <w:adjustRightInd w:val="0"/>
        <w:spacing w:after="0" w:line="240" w:lineRule="auto"/>
        <w:ind w:left="1208" w:right="567" w:hanging="357"/>
        <w:jc w:val="both"/>
        <w:rPr>
          <w:rFonts w:cstheme="minorHAnsi"/>
          <w:sz w:val="24"/>
          <w:szCs w:val="24"/>
          <w:lang w:val="fr-FR"/>
        </w:rPr>
      </w:pPr>
      <w:r w:rsidRPr="00CE4820">
        <w:rPr>
          <w:rFonts w:cstheme="minorHAnsi"/>
          <w:sz w:val="24"/>
          <w:szCs w:val="24"/>
          <w:lang w:val="fr-FR"/>
        </w:rPr>
        <w:t>Dépôts bancaires en espèces excédant le chiffre d’affaires officiel de l'entreprise ;</w:t>
      </w:r>
    </w:p>
    <w:p w14:paraId="2B9FF4E0" w14:textId="77777777" w:rsidR="00CE4820" w:rsidRPr="00CE4820" w:rsidRDefault="00CE4820" w:rsidP="00CE4820">
      <w:pPr>
        <w:pStyle w:val="Paragraphedeliste"/>
        <w:autoSpaceDE w:val="0"/>
        <w:autoSpaceDN w:val="0"/>
        <w:adjustRightInd w:val="0"/>
        <w:spacing w:after="0" w:line="240" w:lineRule="auto"/>
        <w:ind w:left="1208" w:right="567"/>
        <w:jc w:val="both"/>
        <w:rPr>
          <w:rFonts w:cstheme="minorHAnsi"/>
          <w:sz w:val="24"/>
          <w:szCs w:val="24"/>
          <w:lang w:val="fr-FR"/>
        </w:rPr>
      </w:pPr>
    </w:p>
    <w:p w14:paraId="69BDC22C" w14:textId="6BF6D695" w:rsidR="000B03AF" w:rsidRPr="00F3713F" w:rsidRDefault="000B03AF" w:rsidP="00CE4820">
      <w:pPr>
        <w:pStyle w:val="Paragraphedeliste"/>
        <w:numPr>
          <w:ilvl w:val="0"/>
          <w:numId w:val="1"/>
        </w:numPr>
        <w:autoSpaceDE w:val="0"/>
        <w:autoSpaceDN w:val="0"/>
        <w:adjustRightInd w:val="0"/>
        <w:spacing w:before="120" w:after="120" w:line="240" w:lineRule="auto"/>
        <w:ind w:right="567"/>
        <w:rPr>
          <w:color w:val="4472C4" w:themeColor="accent1"/>
          <w:sz w:val="28"/>
          <w:szCs w:val="28"/>
          <w:u w:val="single" w:color="4472C4" w:themeColor="accent1"/>
        </w:rPr>
      </w:pPr>
      <w:r w:rsidRPr="00F3713F">
        <w:rPr>
          <w:color w:val="4472C4" w:themeColor="accent1"/>
          <w:sz w:val="28"/>
          <w:szCs w:val="28"/>
          <w:u w:val="single" w:color="4472C4" w:themeColor="accent1"/>
        </w:rPr>
        <w:t>Domaine professionnel impacté</w:t>
      </w:r>
    </w:p>
    <w:p w14:paraId="0AF6AC09" w14:textId="77777777" w:rsidR="00CE4820" w:rsidRDefault="00CE4820" w:rsidP="00AD5688">
      <w:pPr>
        <w:spacing w:before="120" w:after="0"/>
        <w:ind w:left="567"/>
        <w:contextualSpacing/>
        <w:rPr>
          <w:sz w:val="24"/>
          <w:szCs w:val="24"/>
        </w:rPr>
      </w:pPr>
    </w:p>
    <w:p w14:paraId="0EFC6809" w14:textId="6DE1D008" w:rsidR="00495A19" w:rsidRDefault="000B03AF" w:rsidP="00CE4820">
      <w:pPr>
        <w:spacing w:before="120" w:after="0"/>
        <w:ind w:left="567"/>
        <w:contextualSpacing/>
        <w:jc w:val="both"/>
        <w:rPr>
          <w:sz w:val="24"/>
          <w:szCs w:val="24"/>
        </w:rPr>
      </w:pPr>
      <w:r>
        <w:rPr>
          <w:sz w:val="24"/>
          <w:szCs w:val="24"/>
        </w:rPr>
        <w:t xml:space="preserve">Il est fort probable que </w:t>
      </w:r>
      <w:r w:rsidR="00495A19">
        <w:rPr>
          <w:sz w:val="24"/>
          <w:szCs w:val="24"/>
        </w:rPr>
        <w:t>ce secteur</w:t>
      </w:r>
      <w:r>
        <w:rPr>
          <w:sz w:val="24"/>
          <w:szCs w:val="24"/>
        </w:rPr>
        <w:t xml:space="preserve"> ne touche pas les </w:t>
      </w:r>
      <w:r w:rsidR="00C4092E">
        <w:rPr>
          <w:sz w:val="24"/>
          <w:szCs w:val="24"/>
        </w:rPr>
        <w:t>mandats</w:t>
      </w:r>
      <w:r>
        <w:rPr>
          <w:sz w:val="24"/>
          <w:szCs w:val="24"/>
        </w:rPr>
        <w:t xml:space="preserve"> de commissaire mais plutôt les missions légales </w:t>
      </w:r>
      <w:r w:rsidR="00C4092E">
        <w:rPr>
          <w:sz w:val="24"/>
          <w:szCs w:val="24"/>
        </w:rPr>
        <w:t>au sein de notre profession</w:t>
      </w:r>
      <w:r>
        <w:rPr>
          <w:sz w:val="24"/>
          <w:szCs w:val="24"/>
        </w:rPr>
        <w:t>.</w:t>
      </w:r>
    </w:p>
    <w:p w14:paraId="200F8860" w14:textId="02037763" w:rsidR="00495A19" w:rsidRPr="00F3713F" w:rsidRDefault="00495A19" w:rsidP="00AD5688">
      <w:pPr>
        <w:pStyle w:val="Paragraphedeliste"/>
        <w:numPr>
          <w:ilvl w:val="0"/>
          <w:numId w:val="1"/>
        </w:numPr>
        <w:spacing w:before="120" w:after="0"/>
        <w:ind w:left="714" w:hanging="357"/>
        <w:rPr>
          <w:color w:val="4472C4" w:themeColor="accent1"/>
          <w:sz w:val="28"/>
          <w:szCs w:val="28"/>
          <w:u w:val="single" w:color="4472C4" w:themeColor="accent1"/>
        </w:rPr>
      </w:pPr>
      <w:r w:rsidRPr="00F3713F">
        <w:rPr>
          <w:color w:val="4472C4" w:themeColor="accent1"/>
          <w:sz w:val="28"/>
          <w:szCs w:val="28"/>
          <w:u w:val="single" w:color="4472C4" w:themeColor="accent1"/>
        </w:rPr>
        <w:t>Indicateurs de la menace</w:t>
      </w:r>
    </w:p>
    <w:p w14:paraId="5A07BE85" w14:textId="77777777" w:rsidR="00495A19" w:rsidRPr="00495A19" w:rsidRDefault="00495A19" w:rsidP="00495A19">
      <w:pPr>
        <w:pStyle w:val="Paragraphedeliste"/>
        <w:spacing w:before="240" w:after="0"/>
        <w:ind w:left="714"/>
        <w:rPr>
          <w:color w:val="2F5496" w:themeColor="accent1" w:themeShade="BF"/>
          <w:sz w:val="16"/>
          <w:szCs w:val="16"/>
          <w:u w:val="single" w:color="4472C4" w:themeColor="accent1"/>
        </w:rPr>
      </w:pPr>
    </w:p>
    <w:p w14:paraId="0EEF83F9" w14:textId="77777777" w:rsidR="00495A19" w:rsidRPr="00CE4820" w:rsidRDefault="00495A19" w:rsidP="00CE4820">
      <w:pPr>
        <w:pStyle w:val="Paragraphedeliste"/>
        <w:numPr>
          <w:ilvl w:val="0"/>
          <w:numId w:val="22"/>
        </w:numPr>
        <w:autoSpaceDE w:val="0"/>
        <w:autoSpaceDN w:val="0"/>
        <w:adjustRightInd w:val="0"/>
        <w:spacing w:after="0" w:line="240" w:lineRule="auto"/>
        <w:jc w:val="both"/>
        <w:rPr>
          <w:rFonts w:cstheme="minorHAnsi"/>
          <w:color w:val="000000"/>
          <w:sz w:val="24"/>
          <w:szCs w:val="24"/>
          <w:lang w:val="fr-FR"/>
        </w:rPr>
      </w:pPr>
      <w:r w:rsidRPr="00CE4820">
        <w:rPr>
          <w:rFonts w:cstheme="minorHAnsi"/>
          <w:color w:val="000000"/>
          <w:sz w:val="24"/>
          <w:szCs w:val="24"/>
          <w:lang w:val="fr-FR"/>
        </w:rPr>
        <w:t>Présence de commerces sur l'ensemble du territoire ;</w:t>
      </w:r>
    </w:p>
    <w:p w14:paraId="42A219D0" w14:textId="08C8FF22" w:rsidR="00495A19" w:rsidRPr="00CE4820" w:rsidRDefault="00495A19" w:rsidP="00CE4820">
      <w:pPr>
        <w:pStyle w:val="Paragraphedeliste"/>
        <w:numPr>
          <w:ilvl w:val="0"/>
          <w:numId w:val="22"/>
        </w:numPr>
        <w:autoSpaceDE w:val="0"/>
        <w:autoSpaceDN w:val="0"/>
        <w:adjustRightInd w:val="0"/>
        <w:spacing w:after="0" w:line="240" w:lineRule="auto"/>
        <w:jc w:val="both"/>
        <w:rPr>
          <w:rFonts w:cstheme="minorHAnsi"/>
          <w:color w:val="000000"/>
          <w:sz w:val="24"/>
          <w:szCs w:val="24"/>
          <w:lang w:val="fr-FR"/>
        </w:rPr>
      </w:pPr>
      <w:r w:rsidRPr="00CE4820">
        <w:rPr>
          <w:rFonts w:cstheme="minorHAnsi"/>
          <w:color w:val="000000"/>
          <w:sz w:val="24"/>
          <w:szCs w:val="24"/>
          <w:lang w:val="fr-FR"/>
        </w:rPr>
        <w:t>Forte représentation de ressortissants étrangers susceptibles d'exporter les fonds, notamment vers le sous-continent indien ;</w:t>
      </w:r>
    </w:p>
    <w:p w14:paraId="21F080BD" w14:textId="22D77BBC" w:rsidR="00F6245D" w:rsidRPr="00CE4820" w:rsidRDefault="00F6245D" w:rsidP="00CE4820">
      <w:pPr>
        <w:pStyle w:val="Paragraphedeliste"/>
        <w:numPr>
          <w:ilvl w:val="0"/>
          <w:numId w:val="22"/>
        </w:numPr>
        <w:autoSpaceDE w:val="0"/>
        <w:autoSpaceDN w:val="0"/>
        <w:adjustRightInd w:val="0"/>
        <w:spacing w:after="0" w:line="240" w:lineRule="auto"/>
        <w:jc w:val="both"/>
        <w:rPr>
          <w:rFonts w:cstheme="minorHAnsi"/>
          <w:color w:val="000000"/>
          <w:sz w:val="24"/>
          <w:szCs w:val="24"/>
          <w:lang w:val="fr-FR"/>
        </w:rPr>
      </w:pPr>
      <w:r w:rsidRPr="00CE4820">
        <w:rPr>
          <w:rFonts w:cstheme="minorHAnsi"/>
          <w:color w:val="000000"/>
          <w:sz w:val="24"/>
          <w:szCs w:val="24"/>
          <w:lang w:val="fr-FR"/>
        </w:rPr>
        <w:t>Non dépôt des comptes annuels</w:t>
      </w:r>
      <w:r w:rsidR="00B91162" w:rsidRPr="00CE4820">
        <w:rPr>
          <w:rFonts w:cstheme="minorHAnsi"/>
          <w:color w:val="000000"/>
          <w:sz w:val="24"/>
          <w:szCs w:val="24"/>
          <w:lang w:val="fr-FR"/>
        </w:rPr>
        <w:t> ;</w:t>
      </w:r>
    </w:p>
    <w:p w14:paraId="3FB29D29" w14:textId="452679B4" w:rsidR="00B91162" w:rsidRPr="00CE4820" w:rsidRDefault="00B91162" w:rsidP="00CE4820">
      <w:pPr>
        <w:pStyle w:val="Paragraphedeliste"/>
        <w:numPr>
          <w:ilvl w:val="0"/>
          <w:numId w:val="22"/>
        </w:numPr>
        <w:autoSpaceDE w:val="0"/>
        <w:autoSpaceDN w:val="0"/>
        <w:adjustRightInd w:val="0"/>
        <w:spacing w:after="0" w:line="240" w:lineRule="auto"/>
        <w:jc w:val="both"/>
        <w:rPr>
          <w:rFonts w:cstheme="minorHAnsi"/>
          <w:color w:val="000000"/>
          <w:sz w:val="24"/>
          <w:szCs w:val="24"/>
          <w:lang w:val="fr-FR"/>
        </w:rPr>
      </w:pPr>
      <w:r w:rsidRPr="00CE4820">
        <w:rPr>
          <w:rFonts w:cstheme="minorHAnsi"/>
          <w:color w:val="000000"/>
          <w:sz w:val="24"/>
          <w:szCs w:val="24"/>
          <w:lang w:val="fr-FR"/>
        </w:rPr>
        <w:t>Rotation régulière des membres de la direction</w:t>
      </w:r>
    </w:p>
    <w:p w14:paraId="4D61B12F" w14:textId="77777777" w:rsidR="00AD5688" w:rsidRPr="00AD5688" w:rsidRDefault="00AD5688" w:rsidP="00AD5688">
      <w:pPr>
        <w:pStyle w:val="Paragraphedeliste"/>
        <w:autoSpaceDE w:val="0"/>
        <w:autoSpaceDN w:val="0"/>
        <w:adjustRightInd w:val="0"/>
        <w:spacing w:after="0" w:line="240" w:lineRule="auto"/>
        <w:rPr>
          <w:rFonts w:ascii="CIDFont+F2" w:hAnsi="CIDFont+F2" w:cs="CIDFont+F2"/>
          <w:color w:val="000000"/>
          <w:sz w:val="23"/>
          <w:szCs w:val="23"/>
          <w:lang w:val="fr-FR"/>
        </w:rPr>
      </w:pPr>
    </w:p>
    <w:p w14:paraId="05557E9F" w14:textId="52FF03DE" w:rsidR="00CB3977" w:rsidRPr="00F3713F" w:rsidRDefault="00CB3977" w:rsidP="00AD5688">
      <w:pPr>
        <w:pStyle w:val="Paragraphedeliste"/>
        <w:numPr>
          <w:ilvl w:val="0"/>
          <w:numId w:val="1"/>
        </w:numPr>
        <w:spacing w:before="120" w:after="120" w:line="240" w:lineRule="auto"/>
        <w:ind w:left="714" w:hanging="357"/>
        <w:rPr>
          <w:color w:val="4472C4" w:themeColor="accent1"/>
          <w:sz w:val="28"/>
          <w:szCs w:val="28"/>
          <w:u w:val="single" w:color="4472C4" w:themeColor="accent1"/>
        </w:rPr>
      </w:pPr>
      <w:r w:rsidRPr="00F3713F">
        <w:rPr>
          <w:color w:val="4472C4" w:themeColor="accent1"/>
          <w:sz w:val="28"/>
          <w:szCs w:val="28"/>
          <w:u w:val="single" w:color="4472C4" w:themeColor="accent1"/>
        </w:rPr>
        <w:lastRenderedPageBreak/>
        <w:t>Atténuation de la menace</w:t>
      </w:r>
    </w:p>
    <w:p w14:paraId="1C444D8B" w14:textId="77777777" w:rsidR="000B03AF" w:rsidRPr="00C4092E" w:rsidRDefault="000B03AF" w:rsidP="00C4092E">
      <w:pPr>
        <w:pStyle w:val="Paragraphedeliste"/>
        <w:spacing w:after="0"/>
        <w:ind w:left="714"/>
        <w:rPr>
          <w:color w:val="2F5496" w:themeColor="accent1" w:themeShade="BF"/>
          <w:sz w:val="16"/>
          <w:szCs w:val="16"/>
          <w:u w:val="single" w:color="4472C4" w:themeColor="accent1"/>
        </w:rPr>
      </w:pPr>
    </w:p>
    <w:p w14:paraId="3BE755B4" w14:textId="1B0C3A7F" w:rsidR="00CB3977" w:rsidRPr="00CE4820" w:rsidRDefault="00495A19" w:rsidP="00495A19">
      <w:pPr>
        <w:pStyle w:val="Paragraphedeliste"/>
        <w:numPr>
          <w:ilvl w:val="0"/>
          <w:numId w:val="23"/>
        </w:numPr>
        <w:autoSpaceDE w:val="0"/>
        <w:autoSpaceDN w:val="0"/>
        <w:adjustRightInd w:val="0"/>
        <w:spacing w:after="0" w:line="240" w:lineRule="auto"/>
        <w:rPr>
          <w:rFonts w:cstheme="minorHAnsi"/>
          <w:sz w:val="24"/>
          <w:szCs w:val="24"/>
        </w:rPr>
      </w:pPr>
      <w:r w:rsidRPr="00CE4820">
        <w:rPr>
          <w:rFonts w:cstheme="minorHAnsi"/>
          <w:sz w:val="24"/>
          <w:szCs w:val="24"/>
          <w:lang w:val="fr-FR"/>
        </w:rPr>
        <w:t>Les flux internationaux de capitaux restent le plus souvent intracommunautaires et passent rarement par des juridictions à risque.</w:t>
      </w:r>
    </w:p>
    <w:p w14:paraId="44C181D9" w14:textId="77777777" w:rsidR="00495A19" w:rsidRPr="00CE4820" w:rsidRDefault="00495A19" w:rsidP="00FE134C">
      <w:pPr>
        <w:ind w:left="567"/>
        <w:contextualSpacing/>
        <w:rPr>
          <w:rFonts w:cstheme="minorHAnsi"/>
          <w:sz w:val="24"/>
          <w:szCs w:val="24"/>
        </w:rPr>
      </w:pPr>
    </w:p>
    <w:p w14:paraId="762D7354" w14:textId="5096D04A" w:rsidR="00FE134C" w:rsidRPr="00CE4820" w:rsidRDefault="00FE134C" w:rsidP="00FE134C">
      <w:pPr>
        <w:ind w:left="567"/>
        <w:contextualSpacing/>
        <w:rPr>
          <w:rFonts w:eastAsia="Times New Roman" w:cstheme="minorHAnsi"/>
          <w:sz w:val="24"/>
          <w:szCs w:val="24"/>
        </w:rPr>
      </w:pPr>
      <w:r w:rsidRPr="00CE4820">
        <w:rPr>
          <w:rFonts w:cstheme="minorHAnsi"/>
          <w:sz w:val="24"/>
          <w:szCs w:val="24"/>
        </w:rPr>
        <w:t>Toutefois, il y a lieu d’être attentifs aux situations suivantes :</w:t>
      </w:r>
    </w:p>
    <w:p w14:paraId="5C75271F" w14:textId="6D06CCF3" w:rsidR="005C0D9E" w:rsidRPr="00F3713F" w:rsidRDefault="00936738" w:rsidP="00712873">
      <w:pPr>
        <w:pStyle w:val="Paragraphedeliste"/>
        <w:numPr>
          <w:ilvl w:val="0"/>
          <w:numId w:val="1"/>
        </w:numPr>
        <w:spacing w:before="240"/>
        <w:ind w:left="714" w:hanging="357"/>
        <w:rPr>
          <w:color w:val="4472C4" w:themeColor="accent1"/>
          <w:sz w:val="28"/>
          <w:szCs w:val="28"/>
          <w:u w:val="single" w:color="4472C4" w:themeColor="accent1"/>
        </w:rPr>
      </w:pPr>
      <w:r w:rsidRPr="00F3713F">
        <w:rPr>
          <w:color w:val="4472C4" w:themeColor="accent1"/>
          <w:sz w:val="28"/>
          <w:szCs w:val="28"/>
          <w:u w:val="single" w:color="4472C4" w:themeColor="accent1"/>
        </w:rPr>
        <w:t>Gouvernance :</w:t>
      </w:r>
      <w:r w:rsidR="00C512B4" w:rsidRPr="00F3713F">
        <w:rPr>
          <w:color w:val="4472C4" w:themeColor="accent1"/>
          <w:sz w:val="28"/>
          <w:szCs w:val="28"/>
          <w:u w:val="single" w:color="4472C4" w:themeColor="accent1"/>
        </w:rPr>
        <w:t xml:space="preserve"> </w:t>
      </w:r>
      <w:r w:rsidR="00DC17F8" w:rsidRPr="00F3713F">
        <w:rPr>
          <w:color w:val="4472C4" w:themeColor="accent1"/>
          <w:sz w:val="28"/>
          <w:szCs w:val="28"/>
          <w:u w:val="single" w:color="4472C4" w:themeColor="accent1"/>
        </w:rPr>
        <w:t>Direction</w:t>
      </w:r>
      <w:r w:rsidR="000D7969" w:rsidRPr="00F3713F">
        <w:rPr>
          <w:color w:val="4472C4" w:themeColor="accent1"/>
          <w:sz w:val="28"/>
          <w:szCs w:val="28"/>
          <w:u w:val="single" w:color="4472C4" w:themeColor="accent1"/>
        </w:rPr>
        <w:t xml:space="preserve"> et actionnariat</w:t>
      </w:r>
    </w:p>
    <w:p w14:paraId="6C94F3E2" w14:textId="77777777" w:rsidR="00712873" w:rsidRPr="00C4092E" w:rsidRDefault="00712873" w:rsidP="00712873">
      <w:pPr>
        <w:pStyle w:val="Paragraphedeliste"/>
        <w:spacing w:before="240"/>
        <w:ind w:left="714"/>
        <w:rPr>
          <w:color w:val="4472C4" w:themeColor="accent1"/>
          <w:sz w:val="16"/>
          <w:szCs w:val="16"/>
          <w:u w:val="single" w:color="4472C4" w:themeColor="accent1"/>
        </w:rPr>
      </w:pPr>
    </w:p>
    <w:p w14:paraId="31444896" w14:textId="010F89E3" w:rsidR="00DC17F8" w:rsidRDefault="00DC17F8" w:rsidP="000D7969">
      <w:pPr>
        <w:pStyle w:val="Paragraphedeliste"/>
        <w:numPr>
          <w:ilvl w:val="0"/>
          <w:numId w:val="2"/>
        </w:numPr>
        <w:ind w:left="1151" w:hanging="357"/>
        <w:rPr>
          <w:sz w:val="24"/>
          <w:szCs w:val="24"/>
        </w:rPr>
      </w:pPr>
      <w:r w:rsidRPr="00DC17F8">
        <w:rPr>
          <w:sz w:val="24"/>
          <w:szCs w:val="24"/>
        </w:rPr>
        <w:t>L'utilisation de faux indépendants ou d'hommes de paille comme gérants</w:t>
      </w:r>
      <w:r>
        <w:rPr>
          <w:sz w:val="24"/>
          <w:szCs w:val="24"/>
        </w:rPr>
        <w:t xml:space="preserve"> </w:t>
      </w:r>
    </w:p>
    <w:p w14:paraId="74036AD2" w14:textId="222C1AFE" w:rsidR="00AE7B54" w:rsidRPr="00712873" w:rsidRDefault="00DC17F8" w:rsidP="000D7969">
      <w:pPr>
        <w:pStyle w:val="Paragraphedeliste"/>
        <w:numPr>
          <w:ilvl w:val="0"/>
          <w:numId w:val="2"/>
        </w:numPr>
        <w:ind w:left="1151" w:hanging="357"/>
        <w:rPr>
          <w:sz w:val="24"/>
          <w:szCs w:val="24"/>
        </w:rPr>
      </w:pPr>
      <w:r w:rsidRPr="00DC17F8">
        <w:rPr>
          <w:sz w:val="24"/>
          <w:szCs w:val="24"/>
        </w:rPr>
        <w:t>Des objets sociaux vagues et étendus</w:t>
      </w:r>
      <w:r w:rsidR="000D7969" w:rsidRPr="000D7969">
        <w:rPr>
          <w:sz w:val="24"/>
          <w:szCs w:val="24"/>
        </w:rPr>
        <w:t>.</w:t>
      </w:r>
    </w:p>
    <w:p w14:paraId="3A1F16CC" w14:textId="77777777" w:rsidR="00AE7B54" w:rsidRPr="00712873" w:rsidRDefault="00AE7B54" w:rsidP="00AE7B54">
      <w:pPr>
        <w:pStyle w:val="Paragraphedeliste"/>
        <w:ind w:left="1151"/>
        <w:rPr>
          <w:sz w:val="24"/>
          <w:szCs w:val="24"/>
        </w:rPr>
      </w:pPr>
    </w:p>
    <w:p w14:paraId="652AADDA" w14:textId="77777777" w:rsidR="00C512B4" w:rsidRPr="00F3713F" w:rsidRDefault="00C512B4" w:rsidP="00712873">
      <w:pPr>
        <w:pStyle w:val="Paragraphedeliste"/>
        <w:numPr>
          <w:ilvl w:val="0"/>
          <w:numId w:val="1"/>
        </w:numPr>
        <w:spacing w:before="240"/>
        <w:ind w:left="714" w:hanging="357"/>
        <w:rPr>
          <w:color w:val="4472C4" w:themeColor="accent1"/>
          <w:sz w:val="28"/>
          <w:szCs w:val="28"/>
          <w:u w:val="single" w:color="4472C4" w:themeColor="accent1"/>
        </w:rPr>
      </w:pPr>
      <w:r w:rsidRPr="00F3713F">
        <w:rPr>
          <w:color w:val="4472C4" w:themeColor="accent1"/>
          <w:sz w:val="28"/>
          <w:szCs w:val="28"/>
          <w:u w:val="single" w:color="4472C4" w:themeColor="accent1"/>
        </w:rPr>
        <w:t>Opérations suspectes :</w:t>
      </w:r>
    </w:p>
    <w:p w14:paraId="434AA601" w14:textId="77777777" w:rsidR="00C512B4" w:rsidRPr="00C4092E" w:rsidRDefault="00C512B4" w:rsidP="00AE7B54">
      <w:pPr>
        <w:pStyle w:val="Paragraphedeliste"/>
        <w:rPr>
          <w:sz w:val="16"/>
          <w:szCs w:val="16"/>
        </w:rPr>
      </w:pPr>
    </w:p>
    <w:p w14:paraId="0EA2D9F0" w14:textId="3105D246" w:rsidR="00DC17F8" w:rsidRPr="00DC17F8" w:rsidRDefault="00DC17F8" w:rsidP="00712873">
      <w:pPr>
        <w:pStyle w:val="Paragraphedeliste"/>
        <w:numPr>
          <w:ilvl w:val="0"/>
          <w:numId w:val="2"/>
        </w:numPr>
        <w:ind w:left="1151" w:hanging="357"/>
        <w:rPr>
          <w:sz w:val="24"/>
          <w:szCs w:val="24"/>
        </w:rPr>
      </w:pPr>
      <w:r w:rsidRPr="00DC17F8">
        <w:rPr>
          <w:sz w:val="24"/>
          <w:szCs w:val="24"/>
        </w:rPr>
        <w:t xml:space="preserve">Le recours au travail en noir </w:t>
      </w:r>
    </w:p>
    <w:p w14:paraId="3DD21933" w14:textId="5D93EE37" w:rsidR="00DC17F8" w:rsidRDefault="00DC17F8" w:rsidP="002D05F2">
      <w:pPr>
        <w:pStyle w:val="Paragraphedeliste"/>
        <w:numPr>
          <w:ilvl w:val="0"/>
          <w:numId w:val="2"/>
        </w:numPr>
        <w:ind w:left="1151" w:hanging="357"/>
        <w:rPr>
          <w:sz w:val="24"/>
          <w:szCs w:val="24"/>
        </w:rPr>
      </w:pPr>
      <w:r w:rsidRPr="00DC17F8">
        <w:rPr>
          <w:sz w:val="24"/>
          <w:szCs w:val="24"/>
        </w:rPr>
        <w:t>Un chiffre d'affaires anormalement élevé par rapport à la réalité économique</w:t>
      </w:r>
      <w:r>
        <w:rPr>
          <w:sz w:val="24"/>
          <w:szCs w:val="24"/>
        </w:rPr>
        <w:t xml:space="preserve"> </w:t>
      </w:r>
    </w:p>
    <w:p w14:paraId="23D7BCBA" w14:textId="242F1D1E" w:rsidR="000D7969" w:rsidRDefault="00DC17F8" w:rsidP="002D05F2">
      <w:pPr>
        <w:pStyle w:val="Paragraphedeliste"/>
        <w:numPr>
          <w:ilvl w:val="0"/>
          <w:numId w:val="2"/>
        </w:numPr>
        <w:ind w:left="1151" w:hanging="357"/>
        <w:rPr>
          <w:sz w:val="24"/>
          <w:szCs w:val="24"/>
        </w:rPr>
      </w:pPr>
      <w:r>
        <w:rPr>
          <w:sz w:val="24"/>
          <w:szCs w:val="24"/>
        </w:rPr>
        <w:t>Vente de cigarettes contrefaites</w:t>
      </w:r>
    </w:p>
    <w:p w14:paraId="3E7CC950" w14:textId="2CA64AC9" w:rsidR="009329B8" w:rsidRDefault="009329B8" w:rsidP="002D05F2">
      <w:pPr>
        <w:pStyle w:val="Paragraphedeliste"/>
        <w:numPr>
          <w:ilvl w:val="0"/>
          <w:numId w:val="2"/>
        </w:numPr>
        <w:ind w:left="1151" w:hanging="357"/>
        <w:rPr>
          <w:sz w:val="24"/>
          <w:szCs w:val="24"/>
        </w:rPr>
      </w:pPr>
      <w:r>
        <w:rPr>
          <w:sz w:val="24"/>
          <w:szCs w:val="24"/>
        </w:rPr>
        <w:t>Fausses factures / faux chèques</w:t>
      </w:r>
    </w:p>
    <w:p w14:paraId="532472E5" w14:textId="6EE70D9E" w:rsidR="009329B8" w:rsidRDefault="008667BF" w:rsidP="002D05F2">
      <w:pPr>
        <w:pStyle w:val="Paragraphedeliste"/>
        <w:numPr>
          <w:ilvl w:val="0"/>
          <w:numId w:val="2"/>
        </w:numPr>
        <w:ind w:left="1151" w:hanging="357"/>
        <w:rPr>
          <w:sz w:val="24"/>
          <w:szCs w:val="24"/>
        </w:rPr>
      </w:pPr>
      <w:r>
        <w:rPr>
          <w:sz w:val="24"/>
          <w:szCs w:val="24"/>
        </w:rPr>
        <w:t>Recours à un notaire situé en dehors de la zone du domicile ou du travail</w:t>
      </w:r>
      <w:r w:rsidR="00A9129E">
        <w:rPr>
          <w:sz w:val="24"/>
          <w:szCs w:val="24"/>
        </w:rPr>
        <w:t>.</w:t>
      </w:r>
    </w:p>
    <w:p w14:paraId="633515CB" w14:textId="72E9CAA5" w:rsidR="000D7969" w:rsidRDefault="000D7969" w:rsidP="00C4092E">
      <w:pPr>
        <w:rPr>
          <w:sz w:val="24"/>
          <w:szCs w:val="24"/>
        </w:rPr>
      </w:pPr>
    </w:p>
    <w:p w14:paraId="617E6194" w14:textId="77777777" w:rsidR="000D7969" w:rsidRPr="000D7969" w:rsidRDefault="000D7969" w:rsidP="00712873">
      <w:pPr>
        <w:pStyle w:val="Paragraphedeliste"/>
        <w:ind w:left="1151"/>
        <w:rPr>
          <w:sz w:val="24"/>
          <w:szCs w:val="24"/>
          <w:lang w:val="fr-FR"/>
        </w:rPr>
      </w:pPr>
    </w:p>
    <w:sectPr w:rsidR="000D7969" w:rsidRPr="000D7969"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43F5" w14:textId="77777777" w:rsidR="00496A3D" w:rsidRDefault="00496A3D" w:rsidP="005C0D9E">
      <w:pPr>
        <w:spacing w:after="0" w:line="240" w:lineRule="auto"/>
      </w:pPr>
      <w:r>
        <w:separator/>
      </w:r>
    </w:p>
  </w:endnote>
  <w:endnote w:type="continuationSeparator" w:id="0">
    <w:p w14:paraId="0A2FC93E" w14:textId="77777777" w:rsidR="00496A3D" w:rsidRDefault="00496A3D"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63B" w14:textId="71B0AC3E" w:rsidR="000D7969" w:rsidRDefault="00DC17F8">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52F7F795" wp14:editId="36C654D1">
              <wp:simplePos x="0" y="0"/>
              <wp:positionH relativeFrom="page">
                <wp:posOffset>6536055</wp:posOffset>
              </wp:positionH>
              <wp:positionV relativeFrom="page">
                <wp:posOffset>9340215</wp:posOffset>
              </wp:positionV>
              <wp:extent cx="219710" cy="159385"/>
              <wp:effectExtent l="1905"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FA5B" w14:textId="77777777" w:rsidR="000D7969" w:rsidRDefault="000D7969">
                          <w:pPr>
                            <w:spacing w:before="12"/>
                            <w:ind w:left="60"/>
                            <w:rPr>
                              <w:sz w:val="19"/>
                            </w:rPr>
                          </w:pPr>
                          <w:r>
                            <w:rPr>
                              <w:color w:val="0F0F0F"/>
                              <w:spacing w:val="-5"/>
                              <w:w w:val="110"/>
                              <w:sz w:val="19"/>
                            </w:rPr>
                            <w:fldChar w:fldCharType="begin"/>
                          </w:r>
                          <w:r>
                            <w:rPr>
                              <w:color w:val="0F0F0F"/>
                              <w:spacing w:val="-5"/>
                              <w:w w:val="110"/>
                              <w:sz w:val="19"/>
                            </w:rPr>
                            <w:instrText xml:space="preserve"> PAGE </w:instrText>
                          </w:r>
                          <w:r>
                            <w:rPr>
                              <w:color w:val="0F0F0F"/>
                              <w:spacing w:val="-5"/>
                              <w:w w:val="110"/>
                              <w:sz w:val="19"/>
                            </w:rPr>
                            <w:fldChar w:fldCharType="separate"/>
                          </w:r>
                          <w:r>
                            <w:rPr>
                              <w:color w:val="0F0F0F"/>
                              <w:spacing w:val="-5"/>
                              <w:w w:val="110"/>
                              <w:sz w:val="19"/>
                            </w:rPr>
                            <w:t>35</w:t>
                          </w:r>
                          <w:r>
                            <w:rPr>
                              <w:color w:val="0F0F0F"/>
                              <w:spacing w:val="-5"/>
                              <w:w w:val="110"/>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F795" id="_x0000_t202" coordsize="21600,21600" o:spt="202" path="m,l,21600r21600,l21600,xe">
              <v:stroke joinstyle="miter"/>
              <v:path gradientshapeok="t" o:connecttype="rect"/>
            </v:shapetype>
            <v:shape id="Zone de texte 1" o:spid="_x0000_s1026" type="#_x0000_t202" style="position:absolute;margin-left:514.65pt;margin-top:735.45pt;width:17.3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ap1QEAAJADAAAOAAAAZHJzL2Uyb0RvYy54bWysU9tu1DAQfUfiHyy/s9ksKrTRZqvSqgip&#10;UKTCBziOk1gkHjPj3WT5esbOZsvlDfFiTWbsM+ecmWyvp6EXB4NkwZUyX62lME5DbV1byq9f7l9d&#10;Sk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" filled="f" stroked="f">
              <v:textbox inset="0,0,0,0">
                <w:txbxContent>
                  <w:p w14:paraId="0DE1FA5B" w14:textId="77777777" w:rsidR="000D7969" w:rsidRDefault="000D7969">
                    <w:pPr>
                      <w:spacing w:before="12"/>
                      <w:ind w:left="60"/>
                      <w:rPr>
                        <w:sz w:val="19"/>
                      </w:rPr>
                    </w:pPr>
                    <w:r>
                      <w:rPr>
                        <w:color w:val="0F0F0F"/>
                        <w:spacing w:val="-5"/>
                        <w:w w:val="110"/>
                        <w:sz w:val="19"/>
                      </w:rPr>
                      <w:fldChar w:fldCharType="begin"/>
                    </w:r>
                    <w:r>
                      <w:rPr>
                        <w:color w:val="0F0F0F"/>
                        <w:spacing w:val="-5"/>
                        <w:w w:val="110"/>
                        <w:sz w:val="19"/>
                      </w:rPr>
                      <w:instrText xml:space="preserve"> PAGE </w:instrText>
                    </w:r>
                    <w:r>
                      <w:rPr>
                        <w:color w:val="0F0F0F"/>
                        <w:spacing w:val="-5"/>
                        <w:w w:val="110"/>
                        <w:sz w:val="19"/>
                      </w:rPr>
                      <w:fldChar w:fldCharType="separate"/>
                    </w:r>
                    <w:r>
                      <w:rPr>
                        <w:color w:val="0F0F0F"/>
                        <w:spacing w:val="-5"/>
                        <w:w w:val="110"/>
                        <w:sz w:val="19"/>
                      </w:rPr>
                      <w:t>35</w:t>
                    </w:r>
                    <w:r>
                      <w:rPr>
                        <w:color w:val="0F0F0F"/>
                        <w:spacing w:val="-5"/>
                        <w:w w:val="110"/>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60BF" w14:textId="77777777" w:rsidR="00496A3D" w:rsidRDefault="00496A3D" w:rsidP="005C0D9E">
      <w:pPr>
        <w:spacing w:after="0" w:line="240" w:lineRule="auto"/>
      </w:pPr>
      <w:r>
        <w:separator/>
      </w:r>
    </w:p>
  </w:footnote>
  <w:footnote w:type="continuationSeparator" w:id="0">
    <w:p w14:paraId="6575502B" w14:textId="77777777" w:rsidR="00496A3D" w:rsidRDefault="00496A3D" w:rsidP="005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50438"/>
    <w:multiLevelType w:val="hybridMultilevel"/>
    <w:tmpl w:val="FAFA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3769F4"/>
    <w:multiLevelType w:val="multilevel"/>
    <w:tmpl w:val="12D24822"/>
    <w:lvl w:ilvl="0">
      <w:start w:val="2"/>
      <w:numFmt w:val="decimal"/>
      <w:lvlText w:val="%1"/>
      <w:lvlJc w:val="left"/>
      <w:pPr>
        <w:ind w:left="940" w:hanging="806"/>
        <w:jc w:val="left"/>
      </w:pPr>
      <w:rPr>
        <w:rFonts w:hint="default"/>
        <w:lang w:val="fr-FR" w:eastAsia="en-US" w:bidi="ar-SA"/>
      </w:rPr>
    </w:lvl>
    <w:lvl w:ilvl="1">
      <w:start w:val="5"/>
      <w:numFmt w:val="decimal"/>
      <w:lvlText w:val="%1.%2"/>
      <w:lvlJc w:val="left"/>
      <w:pPr>
        <w:ind w:left="940" w:hanging="806"/>
        <w:jc w:val="left"/>
      </w:pPr>
      <w:rPr>
        <w:rFonts w:hint="default"/>
        <w:spacing w:val="-1"/>
        <w:w w:val="103"/>
        <w:lang w:val="fr-FR" w:eastAsia="en-US" w:bidi="ar-SA"/>
      </w:rPr>
    </w:lvl>
    <w:lvl w:ilvl="2">
      <w:numFmt w:val="bullet"/>
      <w:lvlText w:val="•"/>
      <w:lvlJc w:val="left"/>
      <w:pPr>
        <w:ind w:left="2544" w:hanging="806"/>
      </w:pPr>
      <w:rPr>
        <w:rFonts w:hint="default"/>
        <w:lang w:val="fr-FR" w:eastAsia="en-US" w:bidi="ar-SA"/>
      </w:rPr>
    </w:lvl>
    <w:lvl w:ilvl="3">
      <w:numFmt w:val="bullet"/>
      <w:lvlText w:val="•"/>
      <w:lvlJc w:val="left"/>
      <w:pPr>
        <w:ind w:left="3346" w:hanging="806"/>
      </w:pPr>
      <w:rPr>
        <w:rFonts w:hint="default"/>
        <w:lang w:val="fr-FR" w:eastAsia="en-US" w:bidi="ar-SA"/>
      </w:rPr>
    </w:lvl>
    <w:lvl w:ilvl="4">
      <w:numFmt w:val="bullet"/>
      <w:lvlText w:val="•"/>
      <w:lvlJc w:val="left"/>
      <w:pPr>
        <w:ind w:left="4148" w:hanging="806"/>
      </w:pPr>
      <w:rPr>
        <w:rFonts w:hint="default"/>
        <w:lang w:val="fr-FR" w:eastAsia="en-US" w:bidi="ar-SA"/>
      </w:rPr>
    </w:lvl>
    <w:lvl w:ilvl="5">
      <w:numFmt w:val="bullet"/>
      <w:lvlText w:val="•"/>
      <w:lvlJc w:val="left"/>
      <w:pPr>
        <w:ind w:left="4950" w:hanging="806"/>
      </w:pPr>
      <w:rPr>
        <w:rFonts w:hint="default"/>
        <w:lang w:val="fr-FR" w:eastAsia="en-US" w:bidi="ar-SA"/>
      </w:rPr>
    </w:lvl>
    <w:lvl w:ilvl="6">
      <w:numFmt w:val="bullet"/>
      <w:lvlText w:val="•"/>
      <w:lvlJc w:val="left"/>
      <w:pPr>
        <w:ind w:left="5752" w:hanging="806"/>
      </w:pPr>
      <w:rPr>
        <w:rFonts w:hint="default"/>
        <w:lang w:val="fr-FR" w:eastAsia="en-US" w:bidi="ar-SA"/>
      </w:rPr>
    </w:lvl>
    <w:lvl w:ilvl="7">
      <w:numFmt w:val="bullet"/>
      <w:lvlText w:val="•"/>
      <w:lvlJc w:val="left"/>
      <w:pPr>
        <w:ind w:left="6554" w:hanging="806"/>
      </w:pPr>
      <w:rPr>
        <w:rFonts w:hint="default"/>
        <w:lang w:val="fr-FR" w:eastAsia="en-US" w:bidi="ar-SA"/>
      </w:rPr>
    </w:lvl>
    <w:lvl w:ilvl="8">
      <w:numFmt w:val="bullet"/>
      <w:lvlText w:val="•"/>
      <w:lvlJc w:val="left"/>
      <w:pPr>
        <w:ind w:left="7356" w:hanging="806"/>
      </w:pPr>
      <w:rPr>
        <w:rFonts w:hint="default"/>
        <w:lang w:val="fr-FR" w:eastAsia="en-US" w:bidi="ar-SA"/>
      </w:rPr>
    </w:lvl>
  </w:abstractNum>
  <w:abstractNum w:abstractNumId="5"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553354"/>
    <w:multiLevelType w:val="hybridMultilevel"/>
    <w:tmpl w:val="A4001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EA0F31"/>
    <w:multiLevelType w:val="hybridMultilevel"/>
    <w:tmpl w:val="FFC604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A52860"/>
    <w:multiLevelType w:val="hybridMultilevel"/>
    <w:tmpl w:val="4D8C46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2"/>
  </w:num>
  <w:num w:numId="2" w16cid:durableId="1495074996">
    <w:abstractNumId w:val="17"/>
  </w:num>
  <w:num w:numId="3" w16cid:durableId="381291445">
    <w:abstractNumId w:val="16"/>
  </w:num>
  <w:num w:numId="4" w16cid:durableId="1843428260">
    <w:abstractNumId w:val="6"/>
  </w:num>
  <w:num w:numId="5" w16cid:durableId="1655335937">
    <w:abstractNumId w:val="15"/>
  </w:num>
  <w:num w:numId="6" w16cid:durableId="198475671">
    <w:abstractNumId w:val="10"/>
  </w:num>
  <w:num w:numId="7" w16cid:durableId="611134263">
    <w:abstractNumId w:val="3"/>
  </w:num>
  <w:num w:numId="8" w16cid:durableId="632636094">
    <w:abstractNumId w:val="13"/>
  </w:num>
  <w:num w:numId="9" w16cid:durableId="1153907962">
    <w:abstractNumId w:val="0"/>
  </w:num>
  <w:num w:numId="10" w16cid:durableId="1269389438">
    <w:abstractNumId w:val="8"/>
  </w:num>
  <w:num w:numId="11" w16cid:durableId="1074813988">
    <w:abstractNumId w:val="5"/>
  </w:num>
  <w:num w:numId="12" w16cid:durableId="491027007">
    <w:abstractNumId w:val="7"/>
  </w:num>
  <w:num w:numId="13" w16cid:durableId="135876604">
    <w:abstractNumId w:val="14"/>
  </w:num>
  <w:num w:numId="14" w16cid:durableId="764348663">
    <w:abstractNumId w:val="9"/>
  </w:num>
  <w:num w:numId="15" w16cid:durableId="838734017">
    <w:abstractNumId w:val="1"/>
  </w:num>
  <w:num w:numId="16" w16cid:durableId="63839980">
    <w:abstractNumId w:val="21"/>
  </w:num>
  <w:num w:numId="17" w16cid:durableId="192156088">
    <w:abstractNumId w:val="20"/>
  </w:num>
  <w:num w:numId="18" w16cid:durableId="1497577348">
    <w:abstractNumId w:val="23"/>
  </w:num>
  <w:num w:numId="19" w16cid:durableId="1841654329">
    <w:abstractNumId w:val="19"/>
  </w:num>
  <w:num w:numId="20" w16cid:durableId="694044293">
    <w:abstractNumId w:val="12"/>
  </w:num>
  <w:num w:numId="21" w16cid:durableId="896010190">
    <w:abstractNumId w:val="11"/>
  </w:num>
  <w:num w:numId="22" w16cid:durableId="1412779686">
    <w:abstractNumId w:val="2"/>
  </w:num>
  <w:num w:numId="23" w16cid:durableId="1251306892">
    <w:abstractNumId w:val="18"/>
  </w:num>
  <w:num w:numId="24" w16cid:durableId="1670910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B03AF"/>
    <w:rsid w:val="000D7969"/>
    <w:rsid w:val="000D7D38"/>
    <w:rsid w:val="00103098"/>
    <w:rsid w:val="001B2F67"/>
    <w:rsid w:val="002C692F"/>
    <w:rsid w:val="002D05F2"/>
    <w:rsid w:val="003D58D0"/>
    <w:rsid w:val="003D648D"/>
    <w:rsid w:val="00413D6F"/>
    <w:rsid w:val="00495A19"/>
    <w:rsid w:val="00496A3D"/>
    <w:rsid w:val="004D39E7"/>
    <w:rsid w:val="004E5650"/>
    <w:rsid w:val="00553816"/>
    <w:rsid w:val="00556D3B"/>
    <w:rsid w:val="005C0D9E"/>
    <w:rsid w:val="005D7057"/>
    <w:rsid w:val="0061072C"/>
    <w:rsid w:val="00712873"/>
    <w:rsid w:val="00722FE8"/>
    <w:rsid w:val="00747A05"/>
    <w:rsid w:val="00796377"/>
    <w:rsid w:val="008667BF"/>
    <w:rsid w:val="008B43E2"/>
    <w:rsid w:val="009329B8"/>
    <w:rsid w:val="00936738"/>
    <w:rsid w:val="0094004A"/>
    <w:rsid w:val="00987EF5"/>
    <w:rsid w:val="009E0D0D"/>
    <w:rsid w:val="00A9129E"/>
    <w:rsid w:val="00AD5688"/>
    <w:rsid w:val="00AE4DF0"/>
    <w:rsid w:val="00AE582E"/>
    <w:rsid w:val="00AE7B54"/>
    <w:rsid w:val="00B40FAF"/>
    <w:rsid w:val="00B91162"/>
    <w:rsid w:val="00C341C0"/>
    <w:rsid w:val="00C4092E"/>
    <w:rsid w:val="00C512B4"/>
    <w:rsid w:val="00C71B74"/>
    <w:rsid w:val="00C9070A"/>
    <w:rsid w:val="00CB3977"/>
    <w:rsid w:val="00CE4820"/>
    <w:rsid w:val="00D66117"/>
    <w:rsid w:val="00D963C7"/>
    <w:rsid w:val="00DC17F8"/>
    <w:rsid w:val="00DF5E99"/>
    <w:rsid w:val="00E46A15"/>
    <w:rsid w:val="00E610A4"/>
    <w:rsid w:val="00EA7C30"/>
    <w:rsid w:val="00ED21C6"/>
    <w:rsid w:val="00F23776"/>
    <w:rsid w:val="00F3713F"/>
    <w:rsid w:val="00F6245D"/>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Normal"/>
    <w:link w:val="Titre1Car"/>
    <w:uiPriority w:val="9"/>
    <w:qFormat/>
    <w:rsid w:val="00DC17F8"/>
    <w:pPr>
      <w:widowControl w:val="0"/>
      <w:autoSpaceDE w:val="0"/>
      <w:autoSpaceDN w:val="0"/>
      <w:spacing w:after="0" w:line="240" w:lineRule="auto"/>
      <w:ind w:left="940" w:hanging="806"/>
      <w:outlineLvl w:val="0"/>
    </w:pPr>
    <w:rPr>
      <w:rFonts w:ascii="Arial" w:eastAsia="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character" w:customStyle="1" w:styleId="Titre1Car">
    <w:name w:val="Titre 1 Car"/>
    <w:basedOn w:val="Policepardfaut"/>
    <w:link w:val="Titre1"/>
    <w:uiPriority w:val="9"/>
    <w:rsid w:val="00DC17F8"/>
    <w:rPr>
      <w:rFonts w:ascii="Arial" w:eastAsia="Arial" w:hAnsi="Arial" w:cs="Arial"/>
      <w:b/>
      <w:bCs/>
    </w:rPr>
  </w:style>
  <w:style w:type="paragraph" w:styleId="Rvision">
    <w:name w:val="Revision"/>
    <w:hidden/>
    <w:uiPriority w:val="99"/>
    <w:semiHidden/>
    <w:rsid w:val="00F6245D"/>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2.xml><?xml version="1.0" encoding="utf-8"?>
<ds:datastoreItem xmlns:ds="http://schemas.openxmlformats.org/officeDocument/2006/customXml" ds:itemID="{B7EA5E72-CA6D-429E-A018-C7AF1B8CC5A1}">
  <ds:schemaRefs>
    <ds:schemaRef ds:uri="http://schemas.microsoft.com/sharepoint/v3/contenttype/forms"/>
  </ds:schemaRefs>
</ds:datastoreItem>
</file>

<file path=customXml/itemProps3.xml><?xml version="1.0" encoding="utf-8"?>
<ds:datastoreItem xmlns:ds="http://schemas.openxmlformats.org/officeDocument/2006/customXml" ds:itemID="{E446CF77-DF3E-48C8-8868-B9832F1AE365}">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4.xml><?xml version="1.0" encoding="utf-8"?>
<ds:datastoreItem xmlns:ds="http://schemas.openxmlformats.org/officeDocument/2006/customXml" ds:itemID="{DE7EB49C-BBDD-4524-A203-0707C6B9E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13</cp:revision>
  <dcterms:created xsi:type="dcterms:W3CDTF">2023-03-15T10:49:00Z</dcterms:created>
  <dcterms:modified xsi:type="dcterms:W3CDTF">2023-08-02T07:47:00Z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