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59A44" w14:textId="462A12FD" w:rsidR="003D648D" w:rsidRPr="00712873" w:rsidRDefault="005C0D9E" w:rsidP="00712873">
      <w:pPr>
        <w:pBdr>
          <w:top w:val="triple" w:sz="4" w:space="1" w:color="4472C4" w:themeColor="accent1"/>
          <w:left w:val="triple" w:sz="4" w:space="4" w:color="4472C4" w:themeColor="accent1"/>
          <w:bottom w:val="triple" w:sz="4" w:space="1" w:color="4472C4" w:themeColor="accent1"/>
          <w:right w:val="triple" w:sz="4" w:space="4" w:color="4472C4" w:themeColor="accent1"/>
        </w:pBdr>
        <w:spacing w:before="120"/>
        <w:rPr>
          <w:sz w:val="32"/>
          <w:szCs w:val="32"/>
        </w:rPr>
      </w:pPr>
      <w:r w:rsidRPr="00712873">
        <w:rPr>
          <w:sz w:val="32"/>
          <w:szCs w:val="32"/>
        </w:rPr>
        <w:t xml:space="preserve">Typologie des risques AML – </w:t>
      </w:r>
      <w:r w:rsidR="00A6096E">
        <w:rPr>
          <w:sz w:val="32"/>
          <w:szCs w:val="32"/>
        </w:rPr>
        <w:t>Jeux et paris</w:t>
      </w:r>
      <w:r w:rsidRPr="00712873">
        <w:rPr>
          <w:sz w:val="32"/>
          <w:szCs w:val="32"/>
        </w:rPr>
        <w:t> :</w:t>
      </w:r>
    </w:p>
    <w:p w14:paraId="518483F6" w14:textId="77777777" w:rsidR="00712873" w:rsidRDefault="00712873" w:rsidP="00FE134C">
      <w:pPr>
        <w:ind w:left="567"/>
        <w:contextualSpacing/>
      </w:pPr>
    </w:p>
    <w:p w14:paraId="22115D6E" w14:textId="62DABB17" w:rsidR="00A6096E" w:rsidRPr="006C36BD" w:rsidRDefault="00A6096E" w:rsidP="00065414">
      <w:pPr>
        <w:autoSpaceDE w:val="0"/>
        <w:autoSpaceDN w:val="0"/>
        <w:adjustRightInd w:val="0"/>
        <w:spacing w:after="0" w:line="240" w:lineRule="auto"/>
        <w:ind w:left="567"/>
        <w:jc w:val="both"/>
        <w:rPr>
          <w:rFonts w:cstheme="minorHAnsi"/>
          <w:sz w:val="24"/>
          <w:szCs w:val="24"/>
        </w:rPr>
      </w:pPr>
      <w:r w:rsidRPr="006C36BD">
        <w:rPr>
          <w:rFonts w:cstheme="minorHAnsi"/>
          <w:sz w:val="24"/>
          <w:szCs w:val="24"/>
        </w:rPr>
        <w:t>En matière de jeux de hasard, on retrouve principalement : les casinos, les salles de jeux, les sociétés de paris sportifs, les jeux de Loteries (privées ou publiques) et les jeux et paris sur internet. Il faut distinguer les activités exercées depuis la Belgique (casinos et salles de jeux,</w:t>
      </w:r>
      <w:r w:rsidRPr="00065414">
        <w:rPr>
          <w:rFonts w:cstheme="minorHAnsi"/>
          <w:sz w:val="24"/>
          <w:szCs w:val="24"/>
          <w:lang w:val="fr-FR"/>
        </w:rPr>
        <w:t xml:space="preserve"> activités en </w:t>
      </w:r>
      <w:r w:rsidRPr="00221195">
        <w:rPr>
          <w:rFonts w:cstheme="minorHAnsi"/>
          <w:sz w:val="24"/>
          <w:szCs w:val="24"/>
          <w:lang w:val="fr-FR"/>
        </w:rPr>
        <w:t>ligne</w:t>
      </w:r>
      <w:r w:rsidRPr="00065414">
        <w:rPr>
          <w:rFonts w:cstheme="minorHAnsi"/>
          <w:sz w:val="24"/>
          <w:szCs w:val="24"/>
          <w:lang w:val="fr-FR"/>
        </w:rPr>
        <w:t xml:space="preserve"> exercées par ces opérateurs) et les activités exercées depuis l’étranger (surtout les sites de jeux en ligne agréés par une autorité de contrôle étrangère).</w:t>
      </w:r>
    </w:p>
    <w:p w14:paraId="1ADE3B49" w14:textId="0F3A070D" w:rsidR="00CB3977" w:rsidRPr="00B7680F" w:rsidRDefault="00CB3977" w:rsidP="00065414">
      <w:pPr>
        <w:pStyle w:val="Paragraphedeliste"/>
        <w:numPr>
          <w:ilvl w:val="0"/>
          <w:numId w:val="1"/>
        </w:numPr>
        <w:spacing w:before="240"/>
        <w:ind w:left="714" w:hanging="357"/>
        <w:jc w:val="both"/>
        <w:rPr>
          <w:rFonts w:cstheme="minorHAnsi"/>
          <w:color w:val="4472C4" w:themeColor="accent1"/>
          <w:sz w:val="28"/>
          <w:szCs w:val="28"/>
          <w:u w:val="single" w:color="4472C4" w:themeColor="accent1"/>
        </w:rPr>
      </w:pPr>
      <w:r w:rsidRPr="00B7680F">
        <w:rPr>
          <w:rFonts w:cstheme="minorHAnsi"/>
          <w:color w:val="4472C4" w:themeColor="accent1"/>
          <w:sz w:val="28"/>
          <w:szCs w:val="28"/>
          <w:u w:val="single" w:color="4472C4" w:themeColor="accent1"/>
        </w:rPr>
        <w:t>Principe</w:t>
      </w:r>
    </w:p>
    <w:p w14:paraId="0BC3540B" w14:textId="77777777" w:rsidR="008F06D2" w:rsidRPr="00065414" w:rsidRDefault="008F06D2" w:rsidP="00065414">
      <w:pPr>
        <w:pStyle w:val="Paragraphedeliste"/>
        <w:autoSpaceDE w:val="0"/>
        <w:autoSpaceDN w:val="0"/>
        <w:adjustRightInd w:val="0"/>
        <w:spacing w:after="0" w:line="240" w:lineRule="auto"/>
        <w:jc w:val="both"/>
        <w:rPr>
          <w:rFonts w:cstheme="minorHAnsi"/>
          <w:color w:val="000000"/>
          <w:sz w:val="24"/>
          <w:szCs w:val="24"/>
          <w:lang w:val="fr-FR"/>
        </w:rPr>
      </w:pPr>
    </w:p>
    <w:p w14:paraId="379CB1A5" w14:textId="5E46CE6F" w:rsidR="005A7CBB" w:rsidRPr="006C36BD" w:rsidRDefault="005A7CBB" w:rsidP="0001714A">
      <w:pPr>
        <w:autoSpaceDE w:val="0"/>
        <w:autoSpaceDN w:val="0"/>
        <w:adjustRightInd w:val="0"/>
        <w:spacing w:after="0" w:line="240" w:lineRule="auto"/>
        <w:ind w:left="567"/>
        <w:jc w:val="both"/>
        <w:rPr>
          <w:rFonts w:cstheme="minorHAnsi"/>
          <w:sz w:val="24"/>
          <w:szCs w:val="24"/>
        </w:rPr>
      </w:pPr>
      <w:r w:rsidRPr="006C36BD">
        <w:rPr>
          <w:rFonts w:cstheme="minorHAnsi"/>
          <w:sz w:val="24"/>
          <w:szCs w:val="24"/>
        </w:rPr>
        <w:t>Les casinos sont par définition des institutions non financières. Dans le cadre de leur</w:t>
      </w:r>
      <w:r w:rsidR="00A02944" w:rsidRPr="006C36BD">
        <w:rPr>
          <w:rFonts w:cstheme="minorHAnsi"/>
          <w:sz w:val="24"/>
          <w:szCs w:val="24"/>
        </w:rPr>
        <w:t>s</w:t>
      </w:r>
      <w:r w:rsidRPr="006C36BD">
        <w:rPr>
          <w:rFonts w:cstheme="minorHAnsi"/>
          <w:sz w:val="24"/>
          <w:szCs w:val="24"/>
        </w:rPr>
        <w:t xml:space="preserve"> activité</w:t>
      </w:r>
      <w:r w:rsidR="00A02944" w:rsidRPr="006C36BD">
        <w:rPr>
          <w:rFonts w:cstheme="minorHAnsi"/>
          <w:sz w:val="24"/>
          <w:szCs w:val="24"/>
        </w:rPr>
        <w:t>s</w:t>
      </w:r>
      <w:r w:rsidRPr="006C36BD">
        <w:rPr>
          <w:rFonts w:cstheme="minorHAnsi"/>
          <w:sz w:val="24"/>
          <w:szCs w:val="24"/>
        </w:rPr>
        <w:t xml:space="preserve">, les casinos proposent des jeux d'argent à des fins de divertissement, mais ils exercent également diverses activités financières similaires à celles des institutions financières, ce qui les expose au risque de blanchiment d'argent. La plupart des casinos, si ce n'est tous, exercent des activités financières similaires à celles des institutions financières, notamment : l'acceptation de fonds sur un compte, le change d'argent, les transferts d'argent, le change de devises étrangères, les services de valeurs stockées, les installations d'encaissement de cartes de débit, l'encaissement de chèques, les coffres-forts, etc. Dans de nombreux cas, ces services financiers sont disponibles 24 heures sur 24. </w:t>
      </w:r>
    </w:p>
    <w:p w14:paraId="774493C9" w14:textId="77777777" w:rsidR="008F06D2" w:rsidRPr="006C36BD" w:rsidRDefault="008F06D2" w:rsidP="00065414">
      <w:pPr>
        <w:autoSpaceDE w:val="0"/>
        <w:autoSpaceDN w:val="0"/>
        <w:adjustRightInd w:val="0"/>
        <w:spacing w:after="0" w:line="240" w:lineRule="auto"/>
        <w:ind w:left="567" w:right="567"/>
        <w:jc w:val="both"/>
        <w:rPr>
          <w:rFonts w:cstheme="minorHAnsi"/>
          <w:sz w:val="24"/>
          <w:szCs w:val="24"/>
        </w:rPr>
      </w:pPr>
    </w:p>
    <w:p w14:paraId="15330693" w14:textId="77777777" w:rsidR="008F06D2" w:rsidRPr="006C36BD" w:rsidRDefault="008F06D2" w:rsidP="0001714A">
      <w:pPr>
        <w:autoSpaceDE w:val="0"/>
        <w:autoSpaceDN w:val="0"/>
        <w:adjustRightInd w:val="0"/>
        <w:spacing w:after="0" w:line="240" w:lineRule="auto"/>
        <w:ind w:left="567" w:right="567"/>
        <w:jc w:val="both"/>
        <w:rPr>
          <w:rFonts w:cstheme="minorHAnsi"/>
          <w:sz w:val="24"/>
          <w:szCs w:val="24"/>
        </w:rPr>
      </w:pPr>
      <w:r w:rsidRPr="006C36BD">
        <w:rPr>
          <w:rFonts w:cstheme="minorHAnsi"/>
          <w:sz w:val="24"/>
          <w:szCs w:val="24"/>
        </w:rPr>
        <w:t xml:space="preserve">Les méthodes de blanchiment d'argent sont : </w:t>
      </w:r>
    </w:p>
    <w:p w14:paraId="1CE68E64" w14:textId="71D3E715" w:rsidR="008F06D2" w:rsidRPr="006C36BD" w:rsidRDefault="008F06D2" w:rsidP="0001714A">
      <w:pPr>
        <w:pStyle w:val="Paragraphedeliste"/>
        <w:numPr>
          <w:ilvl w:val="0"/>
          <w:numId w:val="22"/>
        </w:numPr>
        <w:autoSpaceDE w:val="0"/>
        <w:autoSpaceDN w:val="0"/>
        <w:adjustRightInd w:val="0"/>
        <w:spacing w:after="0" w:line="240" w:lineRule="auto"/>
        <w:ind w:right="567"/>
        <w:jc w:val="both"/>
        <w:rPr>
          <w:rFonts w:cstheme="minorHAnsi"/>
          <w:sz w:val="24"/>
          <w:szCs w:val="24"/>
        </w:rPr>
      </w:pPr>
      <w:r w:rsidRPr="006C36BD">
        <w:rPr>
          <w:rFonts w:cstheme="minorHAnsi"/>
          <w:sz w:val="24"/>
          <w:szCs w:val="24"/>
        </w:rPr>
        <w:t xml:space="preserve">Utilisation d'instruments de valeur du casino (espèces / jetons de casino </w:t>
      </w:r>
      <w:r w:rsidR="00233ED7" w:rsidRPr="006C36BD">
        <w:rPr>
          <w:rFonts w:cstheme="minorHAnsi"/>
          <w:sz w:val="24"/>
          <w:szCs w:val="24"/>
        </w:rPr>
        <w:t xml:space="preserve">/ </w:t>
      </w:r>
      <w:r w:rsidRPr="006C36BD">
        <w:rPr>
          <w:rFonts w:cstheme="minorHAnsi"/>
          <w:sz w:val="24"/>
          <w:szCs w:val="24"/>
        </w:rPr>
        <w:t xml:space="preserve">chèques de casino / chèques-cadeaux / bons d'achat de jetons / cartes de récompense du casino). </w:t>
      </w:r>
    </w:p>
    <w:p w14:paraId="6D6E1AB5" w14:textId="5FDB580D" w:rsidR="008F06D2" w:rsidRPr="006C36BD" w:rsidRDefault="008F06D2" w:rsidP="0001714A">
      <w:pPr>
        <w:pStyle w:val="Paragraphedeliste"/>
        <w:numPr>
          <w:ilvl w:val="0"/>
          <w:numId w:val="22"/>
        </w:numPr>
        <w:autoSpaceDE w:val="0"/>
        <w:autoSpaceDN w:val="0"/>
        <w:adjustRightInd w:val="0"/>
        <w:spacing w:after="0" w:line="240" w:lineRule="auto"/>
        <w:ind w:right="567"/>
        <w:jc w:val="both"/>
        <w:rPr>
          <w:rFonts w:cstheme="minorHAnsi"/>
          <w:sz w:val="24"/>
          <w:szCs w:val="24"/>
        </w:rPr>
      </w:pPr>
      <w:r w:rsidRPr="006C36BD">
        <w:rPr>
          <w:rFonts w:cstheme="minorHAnsi"/>
          <w:sz w:val="24"/>
          <w:szCs w:val="24"/>
        </w:rPr>
        <w:t xml:space="preserve">Utilisation des comptes Casino (comptes de crédit, comptes de dépôt étrangers). </w:t>
      </w:r>
    </w:p>
    <w:p w14:paraId="340388D1" w14:textId="595D7302" w:rsidR="008F06D2" w:rsidRPr="006C36BD" w:rsidRDefault="008F06D2" w:rsidP="0001714A">
      <w:pPr>
        <w:pStyle w:val="Paragraphedeliste"/>
        <w:numPr>
          <w:ilvl w:val="0"/>
          <w:numId w:val="22"/>
        </w:numPr>
        <w:autoSpaceDE w:val="0"/>
        <w:autoSpaceDN w:val="0"/>
        <w:adjustRightInd w:val="0"/>
        <w:spacing w:after="0" w:line="240" w:lineRule="auto"/>
        <w:ind w:right="567"/>
        <w:jc w:val="both"/>
        <w:rPr>
          <w:rFonts w:cstheme="minorHAnsi"/>
          <w:sz w:val="24"/>
          <w:szCs w:val="24"/>
        </w:rPr>
      </w:pPr>
      <w:r w:rsidRPr="006C36BD">
        <w:rPr>
          <w:rFonts w:cstheme="minorHAnsi"/>
          <w:sz w:val="24"/>
          <w:szCs w:val="24"/>
        </w:rPr>
        <w:t xml:space="preserve">Pertes intentionnelles. </w:t>
      </w:r>
    </w:p>
    <w:p w14:paraId="06A48588" w14:textId="236A9BE3" w:rsidR="008F06D2" w:rsidRDefault="008F06D2" w:rsidP="0001714A">
      <w:pPr>
        <w:pStyle w:val="Paragraphedeliste"/>
        <w:numPr>
          <w:ilvl w:val="0"/>
          <w:numId w:val="22"/>
        </w:numPr>
        <w:autoSpaceDE w:val="0"/>
        <w:autoSpaceDN w:val="0"/>
        <w:adjustRightInd w:val="0"/>
        <w:spacing w:after="0" w:line="240" w:lineRule="auto"/>
        <w:ind w:right="567"/>
        <w:jc w:val="both"/>
        <w:rPr>
          <w:rFonts w:cstheme="minorHAnsi"/>
          <w:sz w:val="24"/>
          <w:szCs w:val="24"/>
        </w:rPr>
      </w:pPr>
      <w:r w:rsidRPr="006C36BD">
        <w:rPr>
          <w:rFonts w:cstheme="minorHAnsi"/>
          <w:sz w:val="24"/>
          <w:szCs w:val="24"/>
        </w:rPr>
        <w:t xml:space="preserve">Gains / pertes intentionnels. </w:t>
      </w:r>
    </w:p>
    <w:p w14:paraId="3FF9DB45" w14:textId="77777777" w:rsidR="00E12AE6" w:rsidRPr="006C36BD" w:rsidRDefault="00E12AE6" w:rsidP="00E12AE6">
      <w:pPr>
        <w:pStyle w:val="Paragraphedeliste"/>
        <w:autoSpaceDE w:val="0"/>
        <w:autoSpaceDN w:val="0"/>
        <w:adjustRightInd w:val="0"/>
        <w:spacing w:after="0" w:line="240" w:lineRule="auto"/>
        <w:ind w:left="1287" w:right="567"/>
        <w:jc w:val="both"/>
        <w:rPr>
          <w:rFonts w:cstheme="minorHAnsi"/>
          <w:sz w:val="24"/>
          <w:szCs w:val="24"/>
        </w:rPr>
      </w:pPr>
    </w:p>
    <w:p w14:paraId="69BDC22C" w14:textId="13BA1A48" w:rsidR="000B03AF" w:rsidRPr="00B7680F" w:rsidRDefault="000B03AF" w:rsidP="0001714A">
      <w:pPr>
        <w:pStyle w:val="Paragraphedeliste"/>
        <w:numPr>
          <w:ilvl w:val="0"/>
          <w:numId w:val="1"/>
        </w:numPr>
        <w:spacing w:before="240"/>
        <w:ind w:left="714" w:hanging="357"/>
        <w:jc w:val="both"/>
        <w:rPr>
          <w:rFonts w:cstheme="minorHAnsi"/>
          <w:color w:val="4472C4" w:themeColor="accent1"/>
          <w:sz w:val="28"/>
          <w:szCs w:val="28"/>
          <w:u w:val="single" w:color="4472C4" w:themeColor="accent1"/>
        </w:rPr>
      </w:pPr>
      <w:r w:rsidRPr="00B7680F">
        <w:rPr>
          <w:rFonts w:cstheme="minorHAnsi"/>
          <w:color w:val="4472C4" w:themeColor="accent1"/>
          <w:sz w:val="28"/>
          <w:szCs w:val="28"/>
          <w:u w:val="single" w:color="4472C4" w:themeColor="accent1"/>
        </w:rPr>
        <w:t>Domaine professionnel impacté</w:t>
      </w:r>
    </w:p>
    <w:p w14:paraId="0C020981" w14:textId="0E7C2488" w:rsidR="000B03AF" w:rsidRPr="006C36BD" w:rsidRDefault="008F06D2" w:rsidP="0001714A">
      <w:pPr>
        <w:spacing w:before="120"/>
        <w:ind w:left="567"/>
        <w:contextualSpacing/>
        <w:jc w:val="both"/>
        <w:rPr>
          <w:rFonts w:cstheme="minorHAnsi"/>
          <w:sz w:val="24"/>
          <w:szCs w:val="24"/>
        </w:rPr>
      </w:pPr>
      <w:r w:rsidRPr="006C36BD">
        <w:rPr>
          <w:rFonts w:cstheme="minorHAnsi"/>
          <w:sz w:val="24"/>
          <w:szCs w:val="24"/>
        </w:rPr>
        <w:t xml:space="preserve">Dans l’enquête AML du </w:t>
      </w:r>
      <w:r w:rsidR="004C4FCE" w:rsidRPr="006C36BD">
        <w:rPr>
          <w:rFonts w:cstheme="minorHAnsi"/>
          <w:sz w:val="24"/>
          <w:szCs w:val="24"/>
        </w:rPr>
        <w:t>Collège de supervision des réviseurs d’entreprises</w:t>
      </w:r>
      <w:r w:rsidRPr="006C36BD">
        <w:rPr>
          <w:rFonts w:cstheme="minorHAnsi"/>
          <w:sz w:val="24"/>
          <w:szCs w:val="24"/>
        </w:rPr>
        <w:t xml:space="preserve"> de 2022, 18 réviseurs </w:t>
      </w:r>
      <w:r w:rsidR="0032164C" w:rsidRPr="006C36BD">
        <w:rPr>
          <w:rFonts w:cstheme="minorHAnsi"/>
          <w:sz w:val="24"/>
          <w:szCs w:val="24"/>
        </w:rPr>
        <w:t xml:space="preserve">d’entreprises </w:t>
      </w:r>
      <w:r w:rsidRPr="006C36BD">
        <w:rPr>
          <w:rFonts w:cstheme="minorHAnsi"/>
          <w:sz w:val="24"/>
          <w:szCs w:val="24"/>
        </w:rPr>
        <w:t xml:space="preserve">ont déclaré avoir des clients dans le secteur </w:t>
      </w:r>
      <w:r w:rsidR="007367F2" w:rsidRPr="006C36BD">
        <w:rPr>
          <w:rFonts w:cstheme="minorHAnsi"/>
          <w:sz w:val="24"/>
          <w:szCs w:val="24"/>
        </w:rPr>
        <w:t>des loisirs.</w:t>
      </w:r>
    </w:p>
    <w:p w14:paraId="7B6136B2" w14:textId="77C75774" w:rsidR="00A6096E" w:rsidRPr="00B7680F" w:rsidRDefault="00A6096E" w:rsidP="0001714A">
      <w:pPr>
        <w:pStyle w:val="Paragraphedeliste"/>
        <w:numPr>
          <w:ilvl w:val="0"/>
          <w:numId w:val="1"/>
        </w:numPr>
        <w:spacing w:before="120" w:after="120"/>
        <w:ind w:left="714" w:hanging="357"/>
        <w:jc w:val="both"/>
        <w:rPr>
          <w:rFonts w:cstheme="minorHAnsi"/>
          <w:color w:val="4472C4" w:themeColor="accent1"/>
          <w:sz w:val="28"/>
          <w:szCs w:val="28"/>
          <w:u w:val="single" w:color="4472C4" w:themeColor="accent1"/>
        </w:rPr>
      </w:pPr>
      <w:r w:rsidRPr="00B7680F">
        <w:rPr>
          <w:rFonts w:cstheme="minorHAnsi"/>
          <w:color w:val="4472C4" w:themeColor="accent1"/>
          <w:sz w:val="28"/>
          <w:szCs w:val="28"/>
          <w:u w:val="single" w:color="4472C4" w:themeColor="accent1"/>
        </w:rPr>
        <w:t>Indicateurs de la menace</w:t>
      </w:r>
    </w:p>
    <w:p w14:paraId="3572FCBF" w14:textId="77777777" w:rsidR="008F06D2" w:rsidRPr="00221195" w:rsidRDefault="008F06D2" w:rsidP="0001714A">
      <w:pPr>
        <w:pStyle w:val="Paragraphedeliste"/>
        <w:spacing w:before="120" w:after="120"/>
        <w:ind w:left="714"/>
        <w:jc w:val="both"/>
        <w:rPr>
          <w:rFonts w:cstheme="minorHAnsi"/>
          <w:color w:val="2F5496" w:themeColor="accent1" w:themeShade="BF"/>
          <w:sz w:val="24"/>
          <w:szCs w:val="24"/>
          <w:u w:val="single" w:color="4472C4" w:themeColor="accent1"/>
        </w:rPr>
      </w:pPr>
    </w:p>
    <w:p w14:paraId="478538AC" w14:textId="3C24AC59" w:rsidR="00A6096E" w:rsidRPr="006C36BD" w:rsidRDefault="00A6096E" w:rsidP="0001714A">
      <w:pPr>
        <w:pStyle w:val="Paragraphedeliste"/>
        <w:numPr>
          <w:ilvl w:val="0"/>
          <w:numId w:val="20"/>
        </w:numPr>
        <w:autoSpaceDE w:val="0"/>
        <w:autoSpaceDN w:val="0"/>
        <w:adjustRightInd w:val="0"/>
        <w:spacing w:before="120" w:after="0" w:line="240" w:lineRule="auto"/>
        <w:ind w:left="1077" w:hanging="357"/>
        <w:jc w:val="both"/>
        <w:rPr>
          <w:rFonts w:cstheme="minorHAnsi"/>
          <w:sz w:val="24"/>
          <w:szCs w:val="24"/>
        </w:rPr>
      </w:pPr>
      <w:r w:rsidRPr="006C36BD">
        <w:rPr>
          <w:rFonts w:cstheme="minorHAnsi"/>
          <w:sz w:val="24"/>
          <w:szCs w:val="24"/>
        </w:rPr>
        <w:t>les opérations impliquent logiquement des « flux internationaux » mais aucune juridiction à risque n’intervient dans ces derniers;</w:t>
      </w:r>
    </w:p>
    <w:p w14:paraId="7E64F33A" w14:textId="17A2EFAC" w:rsidR="00A6096E" w:rsidRPr="006C36BD" w:rsidRDefault="00A6096E" w:rsidP="0001714A">
      <w:pPr>
        <w:pStyle w:val="Paragraphedeliste"/>
        <w:numPr>
          <w:ilvl w:val="0"/>
          <w:numId w:val="20"/>
        </w:numPr>
        <w:autoSpaceDE w:val="0"/>
        <w:autoSpaceDN w:val="0"/>
        <w:adjustRightInd w:val="0"/>
        <w:spacing w:before="120" w:after="0" w:line="240" w:lineRule="auto"/>
        <w:ind w:left="1077" w:hanging="357"/>
        <w:jc w:val="both"/>
        <w:rPr>
          <w:rFonts w:cstheme="minorHAnsi"/>
          <w:sz w:val="24"/>
          <w:szCs w:val="24"/>
        </w:rPr>
      </w:pPr>
      <w:r w:rsidRPr="006C36BD">
        <w:rPr>
          <w:rFonts w:cstheme="minorHAnsi"/>
          <w:sz w:val="24"/>
          <w:szCs w:val="24"/>
        </w:rPr>
        <w:t>le nombre de personnes morales impliquées engendre une menace élevée, mais les formes juridiques sont essentiellement de droit belge;</w:t>
      </w:r>
    </w:p>
    <w:p w14:paraId="32F8C6DE" w14:textId="0BF10BD7" w:rsidR="00A6096E" w:rsidRPr="006C36BD" w:rsidRDefault="00A6096E" w:rsidP="0001714A">
      <w:pPr>
        <w:pStyle w:val="Paragraphedeliste"/>
        <w:numPr>
          <w:ilvl w:val="0"/>
          <w:numId w:val="20"/>
        </w:numPr>
        <w:autoSpaceDE w:val="0"/>
        <w:autoSpaceDN w:val="0"/>
        <w:adjustRightInd w:val="0"/>
        <w:spacing w:before="120" w:after="0" w:line="240" w:lineRule="auto"/>
        <w:ind w:left="1077" w:hanging="357"/>
        <w:jc w:val="both"/>
        <w:rPr>
          <w:rFonts w:cstheme="minorHAnsi"/>
          <w:sz w:val="24"/>
          <w:szCs w:val="24"/>
        </w:rPr>
      </w:pPr>
      <w:r w:rsidRPr="006C36BD">
        <w:rPr>
          <w:rFonts w:cstheme="minorHAnsi"/>
          <w:sz w:val="24"/>
          <w:szCs w:val="24"/>
        </w:rPr>
        <w:t>la menace liée à la durée de la période infractionnelle est élevée (suivant les données de la police) et moyenne (suivant les données de la CTIF).</w:t>
      </w:r>
    </w:p>
    <w:p w14:paraId="395FE1F7" w14:textId="77777777" w:rsidR="00A6096E" w:rsidRPr="006C36BD" w:rsidRDefault="00A6096E" w:rsidP="0001714A">
      <w:pPr>
        <w:pStyle w:val="Paragraphedeliste"/>
        <w:autoSpaceDE w:val="0"/>
        <w:autoSpaceDN w:val="0"/>
        <w:adjustRightInd w:val="0"/>
        <w:spacing w:before="120" w:after="0" w:line="240" w:lineRule="auto"/>
        <w:ind w:left="1077"/>
        <w:jc w:val="both"/>
        <w:rPr>
          <w:rFonts w:cstheme="minorHAnsi"/>
          <w:sz w:val="24"/>
          <w:szCs w:val="24"/>
        </w:rPr>
      </w:pPr>
    </w:p>
    <w:p w14:paraId="05557E9F" w14:textId="52FF03DE" w:rsidR="00CB3977" w:rsidRPr="00B7680F" w:rsidRDefault="00CB3977" w:rsidP="0001714A">
      <w:pPr>
        <w:pStyle w:val="Paragraphedeliste"/>
        <w:numPr>
          <w:ilvl w:val="0"/>
          <w:numId w:val="1"/>
        </w:numPr>
        <w:spacing w:before="240" w:after="480"/>
        <w:ind w:left="714" w:hanging="357"/>
        <w:jc w:val="both"/>
        <w:rPr>
          <w:rFonts w:cstheme="minorHAnsi"/>
          <w:color w:val="4472C4" w:themeColor="accent1"/>
          <w:sz w:val="28"/>
          <w:szCs w:val="28"/>
          <w:u w:val="single" w:color="4472C4" w:themeColor="accent1"/>
        </w:rPr>
      </w:pPr>
      <w:r w:rsidRPr="00B7680F">
        <w:rPr>
          <w:rFonts w:cstheme="minorHAnsi"/>
          <w:color w:val="4472C4" w:themeColor="accent1"/>
          <w:sz w:val="28"/>
          <w:szCs w:val="28"/>
          <w:u w:val="single" w:color="4472C4" w:themeColor="accent1"/>
        </w:rPr>
        <w:t>Atténuation de la menace</w:t>
      </w:r>
    </w:p>
    <w:p w14:paraId="1C444D8B" w14:textId="254B2BA9" w:rsidR="000B03AF" w:rsidRPr="00221195" w:rsidRDefault="000B03AF" w:rsidP="0001714A">
      <w:pPr>
        <w:pStyle w:val="Paragraphedeliste"/>
        <w:spacing w:after="0"/>
        <w:ind w:left="714"/>
        <w:jc w:val="both"/>
        <w:rPr>
          <w:rFonts w:cstheme="minorHAnsi"/>
          <w:color w:val="2F5496" w:themeColor="accent1" w:themeShade="BF"/>
          <w:sz w:val="24"/>
          <w:szCs w:val="24"/>
          <w:u w:val="single" w:color="4472C4" w:themeColor="accent1"/>
        </w:rPr>
      </w:pPr>
    </w:p>
    <w:p w14:paraId="4FD6A74B" w14:textId="03E64734" w:rsidR="00A6096E" w:rsidRPr="006C36BD" w:rsidRDefault="009D1ACF" w:rsidP="0001714A">
      <w:pPr>
        <w:pStyle w:val="Paragraphedeliste"/>
        <w:numPr>
          <w:ilvl w:val="0"/>
          <w:numId w:val="20"/>
        </w:numPr>
        <w:autoSpaceDE w:val="0"/>
        <w:autoSpaceDN w:val="0"/>
        <w:adjustRightInd w:val="0"/>
        <w:spacing w:before="120" w:after="0" w:line="240" w:lineRule="auto"/>
        <w:ind w:left="1077" w:hanging="357"/>
        <w:jc w:val="both"/>
        <w:rPr>
          <w:rFonts w:cstheme="minorHAnsi"/>
          <w:sz w:val="24"/>
          <w:szCs w:val="24"/>
        </w:rPr>
      </w:pPr>
      <w:r w:rsidRPr="006C36BD">
        <w:rPr>
          <w:rFonts w:cstheme="minorHAnsi"/>
          <w:sz w:val="24"/>
          <w:szCs w:val="24"/>
        </w:rPr>
        <w:t>En termes de</w:t>
      </w:r>
      <w:r w:rsidR="00A6096E" w:rsidRPr="006C36BD">
        <w:rPr>
          <w:rFonts w:cstheme="minorHAnsi"/>
          <w:sz w:val="24"/>
          <w:szCs w:val="24"/>
        </w:rPr>
        <w:t xml:space="preserve"> nombre d’incidents détectés, la menace est relativement légère.</w:t>
      </w:r>
    </w:p>
    <w:p w14:paraId="15DE8A47" w14:textId="264047E1" w:rsidR="00A6096E" w:rsidRPr="006C36BD" w:rsidRDefault="00A6096E" w:rsidP="0001714A">
      <w:pPr>
        <w:ind w:left="567"/>
        <w:contextualSpacing/>
        <w:jc w:val="both"/>
        <w:rPr>
          <w:rFonts w:cstheme="minorHAnsi"/>
          <w:sz w:val="24"/>
          <w:szCs w:val="24"/>
        </w:rPr>
      </w:pPr>
    </w:p>
    <w:p w14:paraId="762D7354" w14:textId="1170223F" w:rsidR="00FE134C" w:rsidRPr="006C36BD" w:rsidRDefault="00FE134C" w:rsidP="0001714A">
      <w:pPr>
        <w:ind w:left="567"/>
        <w:contextualSpacing/>
        <w:jc w:val="both"/>
        <w:rPr>
          <w:rFonts w:eastAsia="Times New Roman" w:cstheme="minorHAnsi"/>
          <w:sz w:val="24"/>
          <w:szCs w:val="24"/>
        </w:rPr>
      </w:pPr>
      <w:r w:rsidRPr="006C36BD">
        <w:rPr>
          <w:rFonts w:cstheme="minorHAnsi"/>
          <w:sz w:val="24"/>
          <w:szCs w:val="24"/>
        </w:rPr>
        <w:t>Toutefois, il y a lieu d’être attentifs aux situations suivantes :</w:t>
      </w:r>
    </w:p>
    <w:p w14:paraId="5C75271F" w14:textId="16E875CC" w:rsidR="005C0D9E" w:rsidRPr="00B7680F" w:rsidRDefault="00936738" w:rsidP="0001714A">
      <w:pPr>
        <w:pStyle w:val="Paragraphedeliste"/>
        <w:numPr>
          <w:ilvl w:val="0"/>
          <w:numId w:val="1"/>
        </w:numPr>
        <w:spacing w:before="240"/>
        <w:ind w:left="714" w:hanging="357"/>
        <w:jc w:val="both"/>
        <w:rPr>
          <w:rFonts w:cstheme="minorHAnsi"/>
          <w:color w:val="4472C4" w:themeColor="accent1"/>
          <w:sz w:val="28"/>
          <w:szCs w:val="28"/>
          <w:u w:val="single" w:color="4472C4" w:themeColor="accent1"/>
        </w:rPr>
      </w:pPr>
      <w:r w:rsidRPr="00B7680F">
        <w:rPr>
          <w:rFonts w:cstheme="minorHAnsi"/>
          <w:color w:val="4472C4" w:themeColor="accent1"/>
          <w:sz w:val="28"/>
          <w:szCs w:val="28"/>
          <w:u w:val="single" w:color="4472C4" w:themeColor="accent1"/>
        </w:rPr>
        <w:t>Gouvernance :</w:t>
      </w:r>
      <w:r w:rsidR="00C512B4" w:rsidRPr="00B7680F">
        <w:rPr>
          <w:rFonts w:cstheme="minorHAnsi"/>
          <w:color w:val="4472C4" w:themeColor="accent1"/>
          <w:sz w:val="28"/>
          <w:szCs w:val="28"/>
          <w:u w:val="single" w:color="4472C4" w:themeColor="accent1"/>
        </w:rPr>
        <w:t xml:space="preserve"> </w:t>
      </w:r>
      <w:r w:rsidR="000D7969" w:rsidRPr="00B7680F">
        <w:rPr>
          <w:rFonts w:cstheme="minorHAnsi"/>
          <w:color w:val="4472C4" w:themeColor="accent1"/>
          <w:sz w:val="28"/>
          <w:szCs w:val="28"/>
          <w:u w:val="single" w:color="4472C4" w:themeColor="accent1"/>
        </w:rPr>
        <w:t>forme juridique et actionnariats</w:t>
      </w:r>
    </w:p>
    <w:p w14:paraId="74036AD2" w14:textId="7C485AD0" w:rsidR="00AE7B54" w:rsidRPr="006C36BD" w:rsidRDefault="005A7CBB" w:rsidP="0001714A">
      <w:pPr>
        <w:autoSpaceDE w:val="0"/>
        <w:autoSpaceDN w:val="0"/>
        <w:adjustRightInd w:val="0"/>
        <w:spacing w:after="0" w:line="240" w:lineRule="auto"/>
        <w:ind w:left="567" w:right="567"/>
        <w:jc w:val="both"/>
        <w:rPr>
          <w:rFonts w:cstheme="minorHAnsi"/>
          <w:sz w:val="24"/>
          <w:szCs w:val="24"/>
        </w:rPr>
      </w:pPr>
      <w:r w:rsidRPr="006C36BD">
        <w:rPr>
          <w:rFonts w:cstheme="minorHAnsi"/>
          <w:sz w:val="24"/>
          <w:szCs w:val="24"/>
        </w:rPr>
        <w:t xml:space="preserve">La propriété des casinos </w:t>
      </w:r>
      <w:r w:rsidR="0001714A" w:rsidRPr="006C36BD">
        <w:rPr>
          <w:rFonts w:cstheme="minorHAnsi"/>
          <w:sz w:val="24"/>
          <w:szCs w:val="24"/>
        </w:rPr>
        <w:t>varie</w:t>
      </w:r>
      <w:r w:rsidRPr="006C36BD">
        <w:rPr>
          <w:rFonts w:cstheme="minorHAnsi"/>
          <w:sz w:val="24"/>
          <w:szCs w:val="24"/>
        </w:rPr>
        <w:t xml:space="preserve"> entre l’Etat et le secteur privé. La plupart des secteurs des casinos sont réglementés et tous sont soumis à des contrôles </w:t>
      </w:r>
      <w:r w:rsidR="00162E61" w:rsidRPr="006C36BD">
        <w:rPr>
          <w:rFonts w:cstheme="minorHAnsi"/>
          <w:sz w:val="24"/>
          <w:szCs w:val="24"/>
        </w:rPr>
        <w:t>BC</w:t>
      </w:r>
      <w:r w:rsidRPr="006C36BD">
        <w:rPr>
          <w:rFonts w:cstheme="minorHAnsi"/>
          <w:sz w:val="24"/>
          <w:szCs w:val="24"/>
        </w:rPr>
        <w:t xml:space="preserve">/FT. Toutefois, il existe, à côté des casinos </w:t>
      </w:r>
      <w:r w:rsidRPr="006C36BD">
        <w:rPr>
          <w:rFonts w:cstheme="minorHAnsi"/>
          <w:sz w:val="24"/>
          <w:szCs w:val="24"/>
        </w:rPr>
        <w:lastRenderedPageBreak/>
        <w:t>traditionnels, un marché des machines de jeu à faible mise. Ces machines peuvent être trouvées dans de nombreux endroits, notamment dans les magasins de paris sportifs et les clubs de poker. Ces entités, souvent détenues par des actionnaires étrangers, sont moins contrôlées et donc sujettes à un plus grand risque de blanchiment.</w:t>
      </w:r>
    </w:p>
    <w:p w14:paraId="3A1F16CC" w14:textId="77777777" w:rsidR="00AE7B54" w:rsidRPr="006C36BD" w:rsidRDefault="00AE7B54" w:rsidP="0001714A">
      <w:pPr>
        <w:pStyle w:val="Paragraphedeliste"/>
        <w:ind w:left="1151"/>
        <w:jc w:val="both"/>
        <w:rPr>
          <w:rFonts w:cstheme="minorHAnsi"/>
          <w:sz w:val="24"/>
          <w:szCs w:val="24"/>
        </w:rPr>
      </w:pPr>
    </w:p>
    <w:p w14:paraId="652AADDA" w14:textId="724539B0" w:rsidR="00C512B4" w:rsidRPr="00B7680F" w:rsidRDefault="00C512B4" w:rsidP="0001714A">
      <w:pPr>
        <w:pStyle w:val="Paragraphedeliste"/>
        <w:numPr>
          <w:ilvl w:val="0"/>
          <w:numId w:val="1"/>
        </w:numPr>
        <w:spacing w:before="240"/>
        <w:ind w:left="714" w:hanging="357"/>
        <w:jc w:val="both"/>
        <w:rPr>
          <w:rFonts w:cstheme="minorHAnsi"/>
          <w:color w:val="4472C4" w:themeColor="accent1"/>
          <w:sz w:val="28"/>
          <w:szCs w:val="28"/>
          <w:u w:val="single" w:color="4472C4" w:themeColor="accent1"/>
        </w:rPr>
      </w:pPr>
      <w:r w:rsidRPr="00B7680F">
        <w:rPr>
          <w:rFonts w:cstheme="minorHAnsi"/>
          <w:color w:val="4472C4" w:themeColor="accent1"/>
          <w:sz w:val="28"/>
          <w:szCs w:val="28"/>
          <w:u w:val="single" w:color="4472C4" w:themeColor="accent1"/>
        </w:rPr>
        <w:t>Opérations suspectes :</w:t>
      </w:r>
    </w:p>
    <w:p w14:paraId="64C30122" w14:textId="77777777" w:rsidR="003E5C69" w:rsidRPr="00221195" w:rsidRDefault="003E5C69" w:rsidP="0001714A">
      <w:pPr>
        <w:pStyle w:val="Paragraphedeliste"/>
        <w:spacing w:before="240"/>
        <w:ind w:left="714"/>
        <w:jc w:val="both"/>
        <w:rPr>
          <w:rFonts w:cstheme="minorHAnsi"/>
          <w:color w:val="2F5496" w:themeColor="accent1" w:themeShade="BF"/>
          <w:sz w:val="24"/>
          <w:szCs w:val="24"/>
          <w:u w:val="single" w:color="4472C4" w:themeColor="accent1"/>
        </w:rPr>
      </w:pPr>
    </w:p>
    <w:p w14:paraId="416773D2" w14:textId="07430C0A" w:rsidR="003E5C69" w:rsidRPr="006C36BD" w:rsidRDefault="003E5C69" w:rsidP="0001714A">
      <w:pPr>
        <w:pStyle w:val="Paragraphedeliste"/>
        <w:numPr>
          <w:ilvl w:val="0"/>
          <w:numId w:val="20"/>
        </w:numPr>
        <w:autoSpaceDE w:val="0"/>
        <w:autoSpaceDN w:val="0"/>
        <w:adjustRightInd w:val="0"/>
        <w:spacing w:after="0" w:line="240" w:lineRule="auto"/>
        <w:jc w:val="both"/>
        <w:rPr>
          <w:rFonts w:cstheme="minorHAnsi"/>
          <w:sz w:val="24"/>
          <w:szCs w:val="24"/>
        </w:rPr>
      </w:pPr>
      <w:r w:rsidRPr="00065414">
        <w:rPr>
          <w:rFonts w:cstheme="minorHAnsi"/>
          <w:b/>
          <w:i/>
          <w:color w:val="000000"/>
          <w:sz w:val="24"/>
          <w:szCs w:val="24"/>
          <w:lang w:val="fr-FR"/>
        </w:rPr>
        <w:t xml:space="preserve">Utilisation de fonds illicites pour jouer </w:t>
      </w:r>
      <w:r w:rsidRPr="00065414">
        <w:rPr>
          <w:rFonts w:cstheme="minorHAnsi"/>
          <w:color w:val="000000"/>
          <w:sz w:val="24"/>
          <w:szCs w:val="24"/>
          <w:lang w:val="fr-FR"/>
        </w:rPr>
        <w:t xml:space="preserve">- </w:t>
      </w:r>
      <w:r w:rsidRPr="006C36BD">
        <w:rPr>
          <w:rFonts w:cstheme="minorHAnsi"/>
          <w:sz w:val="24"/>
          <w:szCs w:val="24"/>
        </w:rPr>
        <w:t xml:space="preserve">il s'agit de la méthode la plus simple pour jouer des fonds illicites dans l'espoir de générer des gains certifiables. L'une des façons de procéder consiste à jouer à des machines à sous. Le blanchisseur d'argent recevra alors un chèque du casino correspondant au montant total des crédits restant sur la machine plus le jackpot. </w:t>
      </w:r>
    </w:p>
    <w:p w14:paraId="5CBD3A9B" w14:textId="1488B9D0" w:rsidR="005A7CBB" w:rsidRPr="00065414" w:rsidRDefault="005A7CBB" w:rsidP="00065414">
      <w:pPr>
        <w:pStyle w:val="Paragraphedeliste"/>
        <w:numPr>
          <w:ilvl w:val="0"/>
          <w:numId w:val="20"/>
        </w:numPr>
        <w:autoSpaceDE w:val="0"/>
        <w:autoSpaceDN w:val="0"/>
        <w:adjustRightInd w:val="0"/>
        <w:spacing w:after="0" w:line="240" w:lineRule="auto"/>
        <w:jc w:val="both"/>
        <w:rPr>
          <w:rFonts w:cstheme="minorHAnsi"/>
          <w:color w:val="000000"/>
          <w:sz w:val="24"/>
          <w:szCs w:val="24"/>
          <w:lang w:val="fr-FR"/>
        </w:rPr>
      </w:pPr>
      <w:r w:rsidRPr="00065414">
        <w:rPr>
          <w:rFonts w:cstheme="minorHAnsi"/>
          <w:b/>
          <w:i/>
          <w:color w:val="000000"/>
          <w:sz w:val="24"/>
          <w:szCs w:val="24"/>
          <w:lang w:val="fr-FR"/>
        </w:rPr>
        <w:t xml:space="preserve">L'achat de jetons en espèces ou sur un compte, puis le remboursement de la valeur par le biais d'un chèque du casino, d'une traite bancaire ou d'un transfert d'argent. </w:t>
      </w:r>
      <w:r w:rsidRPr="00065414">
        <w:rPr>
          <w:rFonts w:cstheme="minorHAnsi"/>
          <w:color w:val="000000"/>
          <w:sz w:val="24"/>
          <w:szCs w:val="24"/>
          <w:lang w:val="fr-FR"/>
        </w:rPr>
        <w:t>Les blanchisseurs achètent généralement des jetons en espèces. Le remboursement est ensuite demandé par un chèque,</w:t>
      </w:r>
      <w:r w:rsidR="00AF7A60" w:rsidRPr="00065414">
        <w:rPr>
          <w:rFonts w:cstheme="minorHAnsi"/>
          <w:color w:val="000000"/>
          <w:sz w:val="24"/>
          <w:szCs w:val="24"/>
          <w:lang w:val="fr-FR"/>
        </w:rPr>
        <w:t xml:space="preserve"> </w:t>
      </w:r>
      <w:r w:rsidRPr="00065414">
        <w:rPr>
          <w:rFonts w:cstheme="minorHAnsi"/>
          <w:color w:val="000000"/>
          <w:sz w:val="24"/>
          <w:szCs w:val="24"/>
          <w:lang w:val="fr-FR"/>
        </w:rPr>
        <w:t xml:space="preserve">ou un </w:t>
      </w:r>
      <w:r w:rsidR="00E3477E" w:rsidRPr="00065414">
        <w:rPr>
          <w:rFonts w:cstheme="minorHAnsi"/>
          <w:color w:val="000000"/>
          <w:sz w:val="24"/>
          <w:szCs w:val="24"/>
          <w:lang w:val="fr-FR"/>
        </w:rPr>
        <w:t>virement</w:t>
      </w:r>
      <w:r w:rsidRPr="00065414">
        <w:rPr>
          <w:rFonts w:cstheme="minorHAnsi"/>
          <w:color w:val="000000"/>
          <w:sz w:val="24"/>
          <w:szCs w:val="24"/>
          <w:lang w:val="fr-FR"/>
        </w:rPr>
        <w:t xml:space="preserve"> sur le compte du casino. Cette méthode peut être rendue plus opaque en utilisant une chaîne de casinos où les jetons qui ont été achetés avec de l'argent illicite sont convertis en crédit, et transférés dans une autre juridiction dans laquelle la chaîne de casinos a un établissement ; le crédit est ensuite converti sous forme de chèque de casino dans le second casino. </w:t>
      </w:r>
    </w:p>
    <w:p w14:paraId="1676B97E" w14:textId="2C863B39" w:rsidR="00E85838" w:rsidRPr="006C36BD" w:rsidRDefault="00E85838" w:rsidP="0001714A">
      <w:pPr>
        <w:pStyle w:val="Paragraphedeliste"/>
        <w:numPr>
          <w:ilvl w:val="0"/>
          <w:numId w:val="20"/>
        </w:numPr>
        <w:autoSpaceDE w:val="0"/>
        <w:autoSpaceDN w:val="0"/>
        <w:adjustRightInd w:val="0"/>
        <w:spacing w:after="0" w:line="240" w:lineRule="auto"/>
        <w:jc w:val="both"/>
        <w:rPr>
          <w:rFonts w:cstheme="minorHAnsi"/>
          <w:sz w:val="24"/>
          <w:szCs w:val="24"/>
        </w:rPr>
      </w:pPr>
      <w:r w:rsidRPr="00065414">
        <w:rPr>
          <w:rFonts w:cstheme="minorHAnsi"/>
          <w:b/>
          <w:i/>
          <w:color w:val="000000"/>
          <w:sz w:val="24"/>
          <w:szCs w:val="24"/>
          <w:lang w:val="fr-FR"/>
        </w:rPr>
        <w:t xml:space="preserve">Achat de </w:t>
      </w:r>
      <w:r w:rsidR="0054460C" w:rsidRPr="00065414">
        <w:rPr>
          <w:rFonts w:cstheme="minorHAnsi"/>
          <w:b/>
          <w:i/>
          <w:color w:val="000000"/>
          <w:sz w:val="24"/>
          <w:szCs w:val="24"/>
          <w:lang w:val="fr-FR"/>
        </w:rPr>
        <w:t>gains</w:t>
      </w:r>
      <w:r w:rsidRPr="00065414">
        <w:rPr>
          <w:rFonts w:cstheme="minorHAnsi"/>
          <w:b/>
          <w:i/>
          <w:color w:val="000000"/>
          <w:sz w:val="24"/>
          <w:szCs w:val="24"/>
          <w:lang w:val="fr-FR"/>
        </w:rPr>
        <w:t xml:space="preserve"> de joueurs "propres" à un prix plus élevé </w:t>
      </w:r>
      <w:r w:rsidRPr="00065414">
        <w:rPr>
          <w:rFonts w:cstheme="minorHAnsi"/>
          <w:color w:val="000000"/>
          <w:sz w:val="24"/>
          <w:szCs w:val="24"/>
          <w:lang w:val="fr-FR"/>
        </w:rPr>
        <w:t xml:space="preserve">- </w:t>
      </w:r>
      <w:r w:rsidRPr="006C36BD">
        <w:rPr>
          <w:rFonts w:cstheme="minorHAnsi"/>
          <w:sz w:val="24"/>
          <w:szCs w:val="24"/>
        </w:rPr>
        <w:t xml:space="preserve">Les blanchisseurs d'argent peuvent acheter des jetons à d'autres blanchisseurs d'argent ou à des clients de casino non associés ayant des antécédents "propres". Ils le font à un prix supérieur à la valeur nominale des jetons. C'est ce qu'on appelle la falsification de la valeur. </w:t>
      </w:r>
    </w:p>
    <w:p w14:paraId="17ECED65" w14:textId="77777777" w:rsidR="00E85838" w:rsidRPr="006C36BD" w:rsidRDefault="00E85838" w:rsidP="0001714A">
      <w:pPr>
        <w:pStyle w:val="Paragraphedeliste"/>
        <w:numPr>
          <w:ilvl w:val="0"/>
          <w:numId w:val="20"/>
        </w:numPr>
        <w:autoSpaceDE w:val="0"/>
        <w:autoSpaceDN w:val="0"/>
        <w:adjustRightInd w:val="0"/>
        <w:spacing w:after="0" w:line="240" w:lineRule="auto"/>
        <w:jc w:val="both"/>
        <w:rPr>
          <w:rFonts w:cstheme="minorHAnsi"/>
          <w:sz w:val="24"/>
          <w:szCs w:val="24"/>
        </w:rPr>
      </w:pPr>
      <w:r w:rsidRPr="00065414">
        <w:rPr>
          <w:rFonts w:cstheme="minorHAnsi"/>
          <w:b/>
          <w:i/>
          <w:color w:val="000000"/>
          <w:sz w:val="24"/>
          <w:szCs w:val="24"/>
          <w:lang w:val="fr-FR"/>
        </w:rPr>
        <w:t xml:space="preserve">Combiner les gains et l'argent liquide dans des chèques de casino </w:t>
      </w:r>
      <w:r w:rsidRPr="00065414">
        <w:rPr>
          <w:rFonts w:cstheme="minorHAnsi"/>
          <w:color w:val="000000"/>
          <w:sz w:val="24"/>
          <w:szCs w:val="24"/>
          <w:lang w:val="fr-FR"/>
        </w:rPr>
        <w:t xml:space="preserve">- </w:t>
      </w:r>
      <w:r w:rsidRPr="006C36BD">
        <w:rPr>
          <w:rFonts w:cstheme="minorHAnsi"/>
          <w:sz w:val="24"/>
          <w:szCs w:val="24"/>
        </w:rPr>
        <w:t xml:space="preserve">bien que peu de juridictions l'autorisent, les blanchisseurs d'argent cherchent à ajouter de l'argent liquide aux gains de casino, puis à échanger l'argent liquide et les gains combinés contre un seul chèque. </w:t>
      </w:r>
    </w:p>
    <w:p w14:paraId="1CEAA184" w14:textId="77777777" w:rsidR="00E85838" w:rsidRPr="006C36BD" w:rsidRDefault="00E85838" w:rsidP="0001714A">
      <w:pPr>
        <w:pStyle w:val="Paragraphedeliste"/>
        <w:numPr>
          <w:ilvl w:val="0"/>
          <w:numId w:val="20"/>
        </w:numPr>
        <w:autoSpaceDE w:val="0"/>
        <w:autoSpaceDN w:val="0"/>
        <w:adjustRightInd w:val="0"/>
        <w:spacing w:after="0" w:line="240" w:lineRule="auto"/>
        <w:jc w:val="both"/>
        <w:rPr>
          <w:rFonts w:cstheme="minorHAnsi"/>
          <w:sz w:val="24"/>
          <w:szCs w:val="24"/>
        </w:rPr>
      </w:pPr>
      <w:r w:rsidRPr="00065414">
        <w:rPr>
          <w:rFonts w:cstheme="minorHAnsi"/>
          <w:b/>
          <w:i/>
          <w:color w:val="000000"/>
          <w:sz w:val="24"/>
          <w:szCs w:val="24"/>
          <w:lang w:val="fr-FR"/>
        </w:rPr>
        <w:t xml:space="preserve">Utilisation de jetons comme monnaie dans des transactions illégales - </w:t>
      </w:r>
      <w:r w:rsidRPr="006C36BD">
        <w:rPr>
          <w:rFonts w:cstheme="minorHAnsi"/>
          <w:sz w:val="24"/>
          <w:szCs w:val="24"/>
        </w:rPr>
        <w:t xml:space="preserve">les blanchisseurs d'argent peuvent conserver des jetons de casino afin de les utiliser comme monnaie pour acheter des drogues ou d'autres biens illégaux. Le fait de transporter des jetons provenant d'une transaction de drogue peut également servir d'alibi pour l'infraction principale. Le destinataire des jetons les encaissera plus tard au casino. </w:t>
      </w:r>
    </w:p>
    <w:p w14:paraId="008040F6" w14:textId="7ED0C842" w:rsidR="00E85838" w:rsidRPr="006C36BD" w:rsidRDefault="00E85838" w:rsidP="0001714A">
      <w:pPr>
        <w:pStyle w:val="Paragraphedeliste"/>
        <w:numPr>
          <w:ilvl w:val="0"/>
          <w:numId w:val="20"/>
        </w:numPr>
        <w:autoSpaceDE w:val="0"/>
        <w:autoSpaceDN w:val="0"/>
        <w:adjustRightInd w:val="0"/>
        <w:spacing w:after="0" w:line="240" w:lineRule="auto"/>
        <w:jc w:val="both"/>
        <w:rPr>
          <w:rFonts w:cstheme="minorHAnsi"/>
          <w:sz w:val="24"/>
          <w:szCs w:val="24"/>
        </w:rPr>
      </w:pPr>
      <w:r w:rsidRPr="00065414">
        <w:rPr>
          <w:rFonts w:cstheme="minorHAnsi"/>
          <w:b/>
          <w:i/>
          <w:color w:val="000000"/>
          <w:sz w:val="24"/>
          <w:szCs w:val="24"/>
          <w:lang w:val="fr-FR"/>
        </w:rPr>
        <w:t xml:space="preserve">Achat d'un grand nombre de "chèques-cadeaux de casino" - </w:t>
      </w:r>
      <w:r w:rsidRPr="006C36BD">
        <w:rPr>
          <w:rFonts w:cstheme="minorHAnsi"/>
          <w:sz w:val="24"/>
          <w:szCs w:val="24"/>
        </w:rPr>
        <w:t xml:space="preserve">Des cas ont été détectés de blanchisseurs d'argent achetant des chèques-cadeaux de casino de grande valeur ou de nombreux chèques-cadeaux de faible valeur qui peuvent être échangés par </w:t>
      </w:r>
      <w:r w:rsidR="00B96759">
        <w:rPr>
          <w:rFonts w:cstheme="minorHAnsi"/>
          <w:sz w:val="24"/>
          <w:szCs w:val="24"/>
        </w:rPr>
        <w:t>des tierces</w:t>
      </w:r>
      <w:r w:rsidRPr="006C36BD">
        <w:rPr>
          <w:rFonts w:cstheme="minorHAnsi"/>
          <w:sz w:val="24"/>
          <w:szCs w:val="24"/>
        </w:rPr>
        <w:t xml:space="preserve"> parties. Les chèques sont ensuite vendus ou donnés à d'autres personnes, ce qui éloigne le blanchisseur des fonds illicites. </w:t>
      </w:r>
    </w:p>
    <w:p w14:paraId="20710B55" w14:textId="6C469B40" w:rsidR="00E85838" w:rsidRPr="00065414" w:rsidRDefault="00E85838" w:rsidP="00065414">
      <w:pPr>
        <w:pStyle w:val="Paragraphedeliste"/>
        <w:numPr>
          <w:ilvl w:val="0"/>
          <w:numId w:val="20"/>
        </w:numPr>
        <w:autoSpaceDE w:val="0"/>
        <w:autoSpaceDN w:val="0"/>
        <w:adjustRightInd w:val="0"/>
        <w:spacing w:after="0" w:line="240" w:lineRule="auto"/>
        <w:jc w:val="both"/>
        <w:rPr>
          <w:rFonts w:cstheme="minorHAnsi"/>
          <w:color w:val="000000"/>
          <w:sz w:val="24"/>
          <w:szCs w:val="24"/>
          <w:lang w:val="fr-FR"/>
        </w:rPr>
      </w:pPr>
      <w:r w:rsidRPr="00065414">
        <w:rPr>
          <w:rFonts w:cstheme="minorHAnsi"/>
          <w:b/>
          <w:i/>
          <w:color w:val="000000"/>
          <w:sz w:val="24"/>
          <w:szCs w:val="24"/>
          <w:lang w:val="fr-FR"/>
        </w:rPr>
        <w:t xml:space="preserve">Raffinage à l'aide d'"accepteurs de billets" ou de machines de jeu qui acceptent l'argent liquide - </w:t>
      </w:r>
      <w:r w:rsidRPr="00065414">
        <w:rPr>
          <w:rFonts w:cstheme="minorHAnsi"/>
          <w:color w:val="000000"/>
          <w:sz w:val="24"/>
          <w:szCs w:val="24"/>
          <w:lang w:val="fr-FR"/>
        </w:rPr>
        <w:t xml:space="preserve">La plupart des casinos équipés de machines de jeu ont des "accepteurs de billets". Les blanchisseurs d'argent introduisent des billets de banque dans la machine pour accumuler des crédits avec peu ou pas de jeu, avant de les racheter. Comme le montant peut être assez élevé, il faut un "ticket" ou un document similaire fourni par le préposé à la machine à sous comme preuve pour permettre l'échange </w:t>
      </w:r>
      <w:r w:rsidR="004347A3">
        <w:rPr>
          <w:rFonts w:cstheme="minorHAnsi"/>
          <w:color w:val="000000"/>
          <w:sz w:val="24"/>
          <w:szCs w:val="24"/>
          <w:lang w:val="fr-FR"/>
        </w:rPr>
        <w:t>d’</w:t>
      </w:r>
      <w:r w:rsidRPr="00065414">
        <w:rPr>
          <w:rFonts w:cstheme="minorHAnsi"/>
          <w:color w:val="000000"/>
          <w:sz w:val="24"/>
          <w:szCs w:val="24"/>
          <w:lang w:val="fr-FR"/>
        </w:rPr>
        <w:t xml:space="preserve">un chèque à la caisse du casino. </w:t>
      </w:r>
    </w:p>
    <w:p w14:paraId="16AE8D91" w14:textId="77777777" w:rsidR="00E85838" w:rsidRPr="006C36BD" w:rsidRDefault="00E85838" w:rsidP="0001714A">
      <w:pPr>
        <w:pStyle w:val="Paragraphedeliste"/>
        <w:numPr>
          <w:ilvl w:val="0"/>
          <w:numId w:val="20"/>
        </w:numPr>
        <w:autoSpaceDE w:val="0"/>
        <w:autoSpaceDN w:val="0"/>
        <w:adjustRightInd w:val="0"/>
        <w:spacing w:after="0" w:line="240" w:lineRule="auto"/>
        <w:jc w:val="both"/>
        <w:rPr>
          <w:rFonts w:cstheme="minorHAnsi"/>
          <w:sz w:val="24"/>
          <w:szCs w:val="24"/>
        </w:rPr>
      </w:pPr>
      <w:r w:rsidRPr="00065414">
        <w:rPr>
          <w:rFonts w:cstheme="minorHAnsi"/>
          <w:b/>
          <w:i/>
          <w:color w:val="000000"/>
          <w:sz w:val="24"/>
          <w:szCs w:val="24"/>
          <w:lang w:val="fr-FR"/>
        </w:rPr>
        <w:t xml:space="preserve">Encaissement de chèques sur des comptes de casino </w:t>
      </w:r>
      <w:r w:rsidRPr="00065414">
        <w:rPr>
          <w:rFonts w:cstheme="minorHAnsi"/>
          <w:color w:val="000000"/>
          <w:sz w:val="24"/>
          <w:szCs w:val="24"/>
          <w:lang w:val="fr-FR"/>
        </w:rPr>
        <w:t xml:space="preserve">- </w:t>
      </w:r>
      <w:r w:rsidRPr="006C36BD">
        <w:rPr>
          <w:rFonts w:cstheme="minorHAnsi"/>
          <w:sz w:val="24"/>
          <w:szCs w:val="24"/>
        </w:rPr>
        <w:t xml:space="preserve">Certains casinos permettent aux clients d'encaisser divers types de chèques et d'utiliser le produit de leur vente pour jouer. Les chèques peuvent être remis au porteur par le destinataire du chèque. Dans les cas étudiés, le produit d'une activité illégale était initialement utilisé pour tirer ces chèques dans le but d'éviter les soupçons du casino. </w:t>
      </w:r>
    </w:p>
    <w:p w14:paraId="47BA9E88" w14:textId="3B28DD62" w:rsidR="00E85838" w:rsidRPr="006C36BD" w:rsidRDefault="00E85838" w:rsidP="0001714A">
      <w:pPr>
        <w:pStyle w:val="Paragraphedeliste"/>
        <w:numPr>
          <w:ilvl w:val="0"/>
          <w:numId w:val="20"/>
        </w:numPr>
        <w:autoSpaceDE w:val="0"/>
        <w:autoSpaceDN w:val="0"/>
        <w:adjustRightInd w:val="0"/>
        <w:spacing w:after="0" w:line="240" w:lineRule="auto"/>
        <w:jc w:val="both"/>
        <w:rPr>
          <w:rFonts w:cstheme="minorHAnsi"/>
          <w:sz w:val="24"/>
          <w:szCs w:val="24"/>
        </w:rPr>
      </w:pPr>
      <w:r w:rsidRPr="00065414">
        <w:rPr>
          <w:rFonts w:cstheme="minorHAnsi"/>
          <w:b/>
          <w:i/>
          <w:color w:val="000000"/>
          <w:sz w:val="24"/>
          <w:szCs w:val="24"/>
          <w:lang w:val="fr-FR"/>
        </w:rPr>
        <w:t>Comptes de dépôt à l'étranger (F</w:t>
      </w:r>
      <w:r w:rsidR="008F0DD3" w:rsidRPr="00065414">
        <w:rPr>
          <w:rFonts w:cstheme="minorHAnsi"/>
          <w:b/>
          <w:i/>
          <w:color w:val="000000"/>
          <w:sz w:val="24"/>
          <w:szCs w:val="24"/>
          <w:lang w:val="fr-FR"/>
        </w:rPr>
        <w:t>DA</w:t>
      </w:r>
      <w:r w:rsidRPr="00065414">
        <w:rPr>
          <w:rFonts w:cstheme="minorHAnsi"/>
          <w:b/>
          <w:i/>
          <w:color w:val="000000"/>
          <w:sz w:val="24"/>
          <w:szCs w:val="24"/>
          <w:lang w:val="fr-FR"/>
        </w:rPr>
        <w:t xml:space="preserve">) </w:t>
      </w:r>
      <w:r w:rsidRPr="00065414">
        <w:rPr>
          <w:rFonts w:cstheme="minorHAnsi"/>
          <w:color w:val="000000"/>
          <w:sz w:val="24"/>
          <w:szCs w:val="24"/>
          <w:lang w:val="fr-FR"/>
        </w:rPr>
        <w:t xml:space="preserve">- </w:t>
      </w:r>
      <w:r w:rsidRPr="006C36BD">
        <w:rPr>
          <w:rFonts w:cstheme="minorHAnsi"/>
          <w:sz w:val="24"/>
          <w:szCs w:val="24"/>
        </w:rPr>
        <w:t xml:space="preserve">Comptes détenus dans une juridiction par le casino, mais les fonds peuvent être utilisés pour jouer dans une autre juridiction du même groupe de casinos. L'argent détenu sur le compte ne quitte pas physiquement le pays et n'est pas soumis aux déclarations d'espèces. Les clients sont en mesure de verser des fonds sur leur compte de casino pour qu'ils puissent jouer lorsqu'ils se rendent au casino sans avoir à envoyer un virement transfrontalier. </w:t>
      </w:r>
    </w:p>
    <w:p w14:paraId="6C9D9924" w14:textId="43D7A938" w:rsidR="00E85838" w:rsidRPr="006C36BD" w:rsidRDefault="00E85838" w:rsidP="0001714A">
      <w:pPr>
        <w:pStyle w:val="Paragraphedeliste"/>
        <w:numPr>
          <w:ilvl w:val="0"/>
          <w:numId w:val="20"/>
        </w:numPr>
        <w:autoSpaceDE w:val="0"/>
        <w:autoSpaceDN w:val="0"/>
        <w:adjustRightInd w:val="0"/>
        <w:spacing w:after="0" w:line="240" w:lineRule="auto"/>
        <w:jc w:val="both"/>
        <w:rPr>
          <w:rFonts w:cstheme="minorHAnsi"/>
          <w:sz w:val="24"/>
          <w:szCs w:val="24"/>
        </w:rPr>
      </w:pPr>
      <w:r w:rsidRPr="00065414">
        <w:rPr>
          <w:rFonts w:cstheme="minorHAnsi"/>
          <w:b/>
          <w:i/>
          <w:color w:val="000000"/>
          <w:sz w:val="24"/>
          <w:szCs w:val="24"/>
          <w:lang w:val="fr-FR"/>
        </w:rPr>
        <w:lastRenderedPageBreak/>
        <w:t xml:space="preserve">Coffres-forts - </w:t>
      </w:r>
      <w:r w:rsidRPr="006C36BD">
        <w:rPr>
          <w:rFonts w:cstheme="minorHAnsi"/>
          <w:sz w:val="24"/>
          <w:szCs w:val="24"/>
        </w:rPr>
        <w:t xml:space="preserve">Un certain nombre de casinos offrent des coffres-forts à leurs clients, en particulier aux clients "high roller" dans les salles VIP. Ces coffres présentent un risque en raison du manque de transparence quant à leur utilisation et de la possibilité pour </w:t>
      </w:r>
      <w:r w:rsidR="007A6F8D">
        <w:rPr>
          <w:rFonts w:cstheme="minorHAnsi"/>
          <w:sz w:val="24"/>
          <w:szCs w:val="24"/>
        </w:rPr>
        <w:t xml:space="preserve">des tierces </w:t>
      </w:r>
      <w:r w:rsidRPr="006C36BD">
        <w:rPr>
          <w:rFonts w:cstheme="minorHAnsi"/>
          <w:sz w:val="24"/>
          <w:szCs w:val="24"/>
        </w:rPr>
        <w:t xml:space="preserve"> parties d'avoir accès aux coffrets de sûreté par le biais d'un mot de passe ou d'une clé, afin de faciliter les transactions financières. Très peu de juridictions réglementent les coffres-forts dans les casinos. </w:t>
      </w:r>
    </w:p>
    <w:p w14:paraId="28CA6491" w14:textId="4E1F4693" w:rsidR="00E85838" w:rsidRPr="00065414" w:rsidRDefault="00E85838" w:rsidP="0001714A">
      <w:pPr>
        <w:pStyle w:val="Paragraphedeliste"/>
        <w:numPr>
          <w:ilvl w:val="0"/>
          <w:numId w:val="20"/>
        </w:numPr>
        <w:autoSpaceDE w:val="0"/>
        <w:autoSpaceDN w:val="0"/>
        <w:adjustRightInd w:val="0"/>
        <w:spacing w:after="0" w:line="240" w:lineRule="auto"/>
        <w:jc w:val="both"/>
        <w:rPr>
          <w:rFonts w:cstheme="minorHAnsi"/>
          <w:color w:val="000000"/>
          <w:sz w:val="24"/>
          <w:szCs w:val="24"/>
          <w:lang w:val="fr-FR"/>
        </w:rPr>
      </w:pPr>
      <w:r w:rsidRPr="00065414">
        <w:rPr>
          <w:rFonts w:cstheme="minorHAnsi"/>
          <w:b/>
          <w:i/>
          <w:color w:val="000000"/>
          <w:sz w:val="24"/>
          <w:szCs w:val="24"/>
          <w:lang w:val="fr-FR"/>
        </w:rPr>
        <w:t xml:space="preserve">L'achat des gains de clients légitimes </w:t>
      </w:r>
      <w:r w:rsidRPr="006C36BD">
        <w:rPr>
          <w:rFonts w:cstheme="minorHAnsi"/>
          <w:sz w:val="24"/>
          <w:szCs w:val="24"/>
        </w:rPr>
        <w:t>est une autre méthode utilisée dans le secteur des jeux. Les blanchisseurs d'argent approchent les clients et leur proposent de l'argent liquide à un prix supérieur à celui de leurs gains. C'est le cas des clients qui ont gagné des jackpots sur des machines à sous, ou qui ont accumulé une grande quantité de jetons de casino grâce à leurs gains aux jeux de table, ou encore des clients qui ont gagné dans d'autres formes de paris proposés par certains casinos, comme les loteries électroniques</w:t>
      </w:r>
      <w:r w:rsidR="003E5C69" w:rsidRPr="006C36BD">
        <w:rPr>
          <w:rFonts w:cstheme="minorHAnsi"/>
          <w:sz w:val="24"/>
          <w:szCs w:val="24"/>
        </w:rPr>
        <w:t>.</w:t>
      </w:r>
    </w:p>
    <w:p w14:paraId="2096DDB0" w14:textId="77777777" w:rsidR="00E85838" w:rsidRPr="006C36BD" w:rsidRDefault="00E85838" w:rsidP="0001714A">
      <w:pPr>
        <w:pStyle w:val="Paragraphedeliste"/>
        <w:numPr>
          <w:ilvl w:val="0"/>
          <w:numId w:val="20"/>
        </w:numPr>
        <w:autoSpaceDE w:val="0"/>
        <w:autoSpaceDN w:val="0"/>
        <w:adjustRightInd w:val="0"/>
        <w:spacing w:after="0" w:line="240" w:lineRule="auto"/>
        <w:jc w:val="both"/>
        <w:rPr>
          <w:rFonts w:cstheme="minorHAnsi"/>
          <w:sz w:val="24"/>
          <w:szCs w:val="24"/>
        </w:rPr>
      </w:pPr>
      <w:r w:rsidRPr="00065414">
        <w:rPr>
          <w:rFonts w:cstheme="minorHAnsi"/>
          <w:b/>
          <w:i/>
          <w:color w:val="000000"/>
          <w:sz w:val="24"/>
          <w:szCs w:val="24"/>
          <w:lang w:val="fr-FR"/>
        </w:rPr>
        <w:t xml:space="preserve">Pari contre des associés / pertes intentionnelles - </w:t>
      </w:r>
      <w:r w:rsidRPr="006C36BD">
        <w:rPr>
          <w:rFonts w:cstheme="minorHAnsi"/>
          <w:sz w:val="24"/>
          <w:szCs w:val="24"/>
        </w:rPr>
        <w:t xml:space="preserve">C'est également le cas dans les jeux qui offrent aux blanchisseurs d'argent la possibilité de parier contre un associé de sorte que, dans la plupart des cas, une des parties gagne. Il s'agit de "pertes intentionnelles" où les blanchisseurs d'argent perdent intentionnellement contre l'une des parties, qui peut recevoir un chèque émis par le casino ou un virement bancaire de ses gains "légitimes". </w:t>
      </w:r>
    </w:p>
    <w:p w14:paraId="717289BD" w14:textId="56B174D7" w:rsidR="003E5C69" w:rsidRPr="006C36BD" w:rsidRDefault="003E5C69" w:rsidP="0001714A">
      <w:pPr>
        <w:pStyle w:val="Paragraphedeliste"/>
        <w:numPr>
          <w:ilvl w:val="0"/>
          <w:numId w:val="20"/>
        </w:numPr>
        <w:autoSpaceDE w:val="0"/>
        <w:autoSpaceDN w:val="0"/>
        <w:adjustRightInd w:val="0"/>
        <w:spacing w:after="0" w:line="240" w:lineRule="auto"/>
        <w:jc w:val="both"/>
        <w:rPr>
          <w:rFonts w:cstheme="minorHAnsi"/>
          <w:sz w:val="24"/>
          <w:szCs w:val="24"/>
        </w:rPr>
      </w:pPr>
      <w:r w:rsidRPr="00065414">
        <w:rPr>
          <w:rFonts w:cstheme="minorHAnsi"/>
          <w:b/>
          <w:i/>
          <w:color w:val="000000"/>
          <w:sz w:val="24"/>
          <w:szCs w:val="24"/>
          <w:lang w:val="fr-FR"/>
        </w:rPr>
        <w:t xml:space="preserve">Les paris sportifs – </w:t>
      </w:r>
      <w:r w:rsidRPr="006C36BD">
        <w:rPr>
          <w:rFonts w:cstheme="minorHAnsi"/>
          <w:sz w:val="24"/>
          <w:szCs w:val="24"/>
        </w:rPr>
        <w:t xml:space="preserve">On y retrouve les risques liés aux résultats de matchs ou de compétitions truqués (résultat faussé via des dessous de tables). </w:t>
      </w:r>
    </w:p>
    <w:p w14:paraId="2B3F4226" w14:textId="7436F58D" w:rsidR="005A7CBB" w:rsidRPr="006C36BD" w:rsidRDefault="005A7CBB" w:rsidP="00065414">
      <w:pPr>
        <w:jc w:val="both"/>
        <w:rPr>
          <w:rFonts w:cstheme="minorHAnsi"/>
          <w:sz w:val="24"/>
          <w:szCs w:val="24"/>
          <w:lang w:val="fr-FR"/>
        </w:rPr>
      </w:pPr>
    </w:p>
    <w:p w14:paraId="7B770C2B" w14:textId="211AC7D5" w:rsidR="009D1ACF" w:rsidRPr="006C36BD" w:rsidRDefault="009D1ACF" w:rsidP="00065414">
      <w:pPr>
        <w:jc w:val="both"/>
        <w:rPr>
          <w:rFonts w:cstheme="minorHAnsi"/>
          <w:sz w:val="24"/>
          <w:szCs w:val="24"/>
          <w:lang w:val="fr-FR"/>
        </w:rPr>
      </w:pPr>
    </w:p>
    <w:p w14:paraId="617E6194" w14:textId="77777777" w:rsidR="000D7969" w:rsidRPr="00065414" w:rsidRDefault="000D7969" w:rsidP="00065414">
      <w:pPr>
        <w:jc w:val="both"/>
        <w:rPr>
          <w:rFonts w:cstheme="minorHAnsi"/>
          <w:sz w:val="24"/>
          <w:szCs w:val="24"/>
          <w:lang w:val="fr-FR"/>
        </w:rPr>
      </w:pPr>
    </w:p>
    <w:sectPr w:rsidR="000D7969" w:rsidRPr="00065414" w:rsidSect="0094004A">
      <w:footerReference w:type="default" r:id="rId11"/>
      <w:pgSz w:w="12191"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1C1F5" w14:textId="77777777" w:rsidR="0052689F" w:rsidRDefault="0052689F" w:rsidP="005C0D9E">
      <w:pPr>
        <w:spacing w:after="0" w:line="240" w:lineRule="auto"/>
      </w:pPr>
      <w:r>
        <w:separator/>
      </w:r>
    </w:p>
  </w:endnote>
  <w:endnote w:type="continuationSeparator" w:id="0">
    <w:p w14:paraId="7EEB50B2" w14:textId="77777777" w:rsidR="0052689F" w:rsidRDefault="0052689F" w:rsidP="005C0D9E">
      <w:pPr>
        <w:spacing w:after="0" w:line="240" w:lineRule="auto"/>
      </w:pPr>
      <w:r>
        <w:continuationSeparator/>
      </w:r>
    </w:p>
  </w:endnote>
  <w:endnote w:type="continuationNotice" w:id="1">
    <w:p w14:paraId="5D94DEBD" w14:textId="77777777" w:rsidR="00065414" w:rsidRDefault="000654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863B" w14:textId="59F6839F" w:rsidR="000D7969" w:rsidRDefault="003E5C69">
    <w:pPr>
      <w:pStyle w:val="Corpsdetexte"/>
      <w:spacing w:line="14" w:lineRule="auto"/>
      <w:rPr>
        <w:sz w:val="20"/>
      </w:rPr>
    </w:pPr>
    <w:r>
      <w:rPr>
        <w:noProof/>
      </w:rPr>
      <mc:AlternateContent>
        <mc:Choice Requires="wps">
          <w:drawing>
            <wp:anchor distT="0" distB="0" distL="114300" distR="114300" simplePos="0" relativeHeight="251658240" behindDoc="1" locked="0" layoutInCell="1" allowOverlap="1" wp14:anchorId="52F7F795" wp14:editId="16D3E4A0">
              <wp:simplePos x="0" y="0"/>
              <wp:positionH relativeFrom="page">
                <wp:posOffset>6536055</wp:posOffset>
              </wp:positionH>
              <wp:positionV relativeFrom="page">
                <wp:posOffset>9340215</wp:posOffset>
              </wp:positionV>
              <wp:extent cx="219710" cy="159385"/>
              <wp:effectExtent l="1905" t="0" r="0" b="0"/>
              <wp:wrapNone/>
              <wp:docPr id="45" name="Zone de text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1FA5B" w14:textId="77777777" w:rsidR="000D7969" w:rsidRDefault="000D7969">
                          <w:pPr>
                            <w:spacing w:before="12"/>
                            <w:ind w:left="60"/>
                            <w:rPr>
                              <w:sz w:val="19"/>
                            </w:rPr>
                          </w:pPr>
                          <w:r>
                            <w:rPr>
                              <w:color w:val="0F0F0F"/>
                              <w:spacing w:val="-5"/>
                              <w:w w:val="110"/>
                              <w:sz w:val="19"/>
                            </w:rPr>
                            <w:fldChar w:fldCharType="begin"/>
                          </w:r>
                          <w:r>
                            <w:rPr>
                              <w:color w:val="0F0F0F"/>
                              <w:spacing w:val="-5"/>
                              <w:w w:val="110"/>
                              <w:sz w:val="19"/>
                            </w:rPr>
                            <w:instrText xml:space="preserve"> PAGE </w:instrText>
                          </w:r>
                          <w:r>
                            <w:rPr>
                              <w:color w:val="0F0F0F"/>
                              <w:spacing w:val="-5"/>
                              <w:w w:val="110"/>
                              <w:sz w:val="19"/>
                            </w:rPr>
                            <w:fldChar w:fldCharType="separate"/>
                          </w:r>
                          <w:r>
                            <w:rPr>
                              <w:color w:val="0F0F0F"/>
                              <w:spacing w:val="-5"/>
                              <w:w w:val="110"/>
                              <w:sz w:val="19"/>
                            </w:rPr>
                            <w:t>35</w:t>
                          </w:r>
                          <w:r>
                            <w:rPr>
                              <w:color w:val="0F0F0F"/>
                              <w:spacing w:val="-5"/>
                              <w:w w:val="110"/>
                              <w:sz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7F795" id="_x0000_t202" coordsize="21600,21600" o:spt="202" path="m,l,21600r21600,l21600,xe">
              <v:stroke joinstyle="miter"/>
              <v:path gradientshapeok="t" o:connecttype="rect"/>
            </v:shapetype>
            <v:shape id="Zone de texte 45" o:spid="_x0000_s1026" type="#_x0000_t202" style="position:absolute;margin-left:514.65pt;margin-top:735.45pt;width:17.3pt;height:12.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" filled="f" stroked="f">
              <v:textbox inset="0,0,0,0">
                <w:txbxContent>
                  <w:p w14:paraId="0DE1FA5B" w14:textId="77777777" w:rsidR="000D7969" w:rsidRDefault="000D7969">
                    <w:pPr>
                      <w:spacing w:before="12"/>
                      <w:ind w:left="60"/>
                      <w:rPr>
                        <w:sz w:val="19"/>
                      </w:rPr>
                    </w:pPr>
                    <w:r>
                      <w:rPr>
                        <w:color w:val="0F0F0F"/>
                        <w:spacing w:val="-5"/>
                        <w:w w:val="110"/>
                        <w:sz w:val="19"/>
                      </w:rPr>
                      <w:fldChar w:fldCharType="begin"/>
                    </w:r>
                    <w:r>
                      <w:rPr>
                        <w:color w:val="0F0F0F"/>
                        <w:spacing w:val="-5"/>
                        <w:w w:val="110"/>
                        <w:sz w:val="19"/>
                      </w:rPr>
                      <w:instrText xml:space="preserve"> PAGE </w:instrText>
                    </w:r>
                    <w:r>
                      <w:rPr>
                        <w:color w:val="0F0F0F"/>
                        <w:spacing w:val="-5"/>
                        <w:w w:val="110"/>
                        <w:sz w:val="19"/>
                      </w:rPr>
                      <w:fldChar w:fldCharType="separate"/>
                    </w:r>
                    <w:r>
                      <w:rPr>
                        <w:color w:val="0F0F0F"/>
                        <w:spacing w:val="-5"/>
                        <w:w w:val="110"/>
                        <w:sz w:val="19"/>
                      </w:rPr>
                      <w:t>35</w:t>
                    </w:r>
                    <w:r>
                      <w:rPr>
                        <w:color w:val="0F0F0F"/>
                        <w:spacing w:val="-5"/>
                        <w:w w:val="110"/>
                        <w:sz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03D0F" w14:textId="77777777" w:rsidR="0052689F" w:rsidRDefault="0052689F" w:rsidP="005C0D9E">
      <w:pPr>
        <w:spacing w:after="0" w:line="240" w:lineRule="auto"/>
      </w:pPr>
      <w:r>
        <w:separator/>
      </w:r>
    </w:p>
  </w:footnote>
  <w:footnote w:type="continuationSeparator" w:id="0">
    <w:p w14:paraId="716B98DE" w14:textId="77777777" w:rsidR="0052689F" w:rsidRDefault="0052689F" w:rsidP="005C0D9E">
      <w:pPr>
        <w:spacing w:after="0" w:line="240" w:lineRule="auto"/>
      </w:pPr>
      <w:r>
        <w:continuationSeparator/>
      </w:r>
    </w:p>
  </w:footnote>
  <w:footnote w:type="continuationNotice" w:id="1">
    <w:p w14:paraId="6BED3653" w14:textId="77777777" w:rsidR="00065414" w:rsidRDefault="0006541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FD2CC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25334"/>
    <w:multiLevelType w:val="hybridMultilevel"/>
    <w:tmpl w:val="0BF8AB4E"/>
    <w:lvl w:ilvl="0" w:tplc="FFFFFFFF">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05C019D"/>
    <w:multiLevelType w:val="hybridMultilevel"/>
    <w:tmpl w:val="2116C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EC7AA7"/>
    <w:multiLevelType w:val="hybridMultilevel"/>
    <w:tmpl w:val="252EABBC"/>
    <w:lvl w:ilvl="0" w:tplc="FFFFFFFF">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2E4796F"/>
    <w:multiLevelType w:val="hybridMultilevel"/>
    <w:tmpl w:val="E6863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BA7888"/>
    <w:multiLevelType w:val="hybridMultilevel"/>
    <w:tmpl w:val="B414F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964A3B"/>
    <w:multiLevelType w:val="hybridMultilevel"/>
    <w:tmpl w:val="EB442D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305EA5"/>
    <w:multiLevelType w:val="hybridMultilevel"/>
    <w:tmpl w:val="6AA81C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3F2578"/>
    <w:multiLevelType w:val="hybridMultilevel"/>
    <w:tmpl w:val="5900E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CE3F4F"/>
    <w:multiLevelType w:val="hybridMultilevel"/>
    <w:tmpl w:val="F4FE6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EA0F31"/>
    <w:multiLevelType w:val="hybridMultilevel"/>
    <w:tmpl w:val="BB58C92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483373B"/>
    <w:multiLevelType w:val="hybridMultilevel"/>
    <w:tmpl w:val="354E5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F8506E"/>
    <w:multiLevelType w:val="hybridMultilevel"/>
    <w:tmpl w:val="9AA2B5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5D0C92"/>
    <w:multiLevelType w:val="hybridMultilevel"/>
    <w:tmpl w:val="6B3C441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4CC0D78"/>
    <w:multiLevelType w:val="hybridMultilevel"/>
    <w:tmpl w:val="C8FAD8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5E416E"/>
    <w:multiLevelType w:val="hybridMultilevel"/>
    <w:tmpl w:val="43A6AC38"/>
    <w:lvl w:ilvl="0" w:tplc="040C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8B6419B"/>
    <w:multiLevelType w:val="hybridMultilevel"/>
    <w:tmpl w:val="23A27866"/>
    <w:lvl w:ilvl="0" w:tplc="20000003">
      <w:start w:val="1"/>
      <w:numFmt w:val="bullet"/>
      <w:lvlText w:val="o"/>
      <w:lvlJc w:val="left"/>
      <w:pPr>
        <w:ind w:left="1287" w:hanging="360"/>
      </w:pPr>
      <w:rPr>
        <w:rFonts w:ascii="Courier New" w:hAnsi="Courier New" w:cs="Courier New"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7" w15:restartNumberingAfterBreak="0">
    <w:nsid w:val="57EB1DCD"/>
    <w:multiLevelType w:val="hybridMultilevel"/>
    <w:tmpl w:val="10804D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19B455B"/>
    <w:multiLevelType w:val="hybridMultilevel"/>
    <w:tmpl w:val="DC4E2FDA"/>
    <w:lvl w:ilvl="0" w:tplc="D53E24E6">
      <w:numFmt w:val="bullet"/>
      <w:lvlText w:val="•"/>
      <w:lvlJc w:val="left"/>
      <w:pPr>
        <w:ind w:left="927" w:hanging="360"/>
      </w:pPr>
      <w:rPr>
        <w:rFonts w:ascii="Calibri" w:eastAsiaTheme="minorHAnsi" w:hAnsi="Calibri" w:cs="Calibri"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9" w15:restartNumberingAfterBreak="0">
    <w:nsid w:val="619E3471"/>
    <w:multiLevelType w:val="hybridMultilevel"/>
    <w:tmpl w:val="2D92A4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CAD7CEC"/>
    <w:multiLevelType w:val="hybridMultilevel"/>
    <w:tmpl w:val="58D080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CE312F9"/>
    <w:multiLevelType w:val="hybridMultilevel"/>
    <w:tmpl w:val="9F3ADA3C"/>
    <w:lvl w:ilvl="0" w:tplc="9B2C754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BBCCF8F8">
      <w:numFmt w:val="bullet"/>
      <w:lvlText w:val=""/>
      <w:lvlJc w:val="left"/>
      <w:pPr>
        <w:ind w:left="2160" w:hanging="360"/>
      </w:pPr>
      <w:rPr>
        <w:rFonts w:ascii="Symbol" w:eastAsiaTheme="minorHAnsi" w:hAnsi="Symbol"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DC53707"/>
    <w:multiLevelType w:val="hybridMultilevel"/>
    <w:tmpl w:val="A71087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5901462">
    <w:abstractNumId w:val="21"/>
  </w:num>
  <w:num w:numId="2" w16cid:durableId="1495074996">
    <w:abstractNumId w:val="15"/>
  </w:num>
  <w:num w:numId="3" w16cid:durableId="381291445">
    <w:abstractNumId w:val="14"/>
  </w:num>
  <w:num w:numId="4" w16cid:durableId="1843428260">
    <w:abstractNumId w:val="5"/>
  </w:num>
  <w:num w:numId="5" w16cid:durableId="1655335937">
    <w:abstractNumId w:val="13"/>
  </w:num>
  <w:num w:numId="6" w16cid:durableId="198475671">
    <w:abstractNumId w:val="9"/>
  </w:num>
  <w:num w:numId="7" w16cid:durableId="611134263">
    <w:abstractNumId w:val="3"/>
  </w:num>
  <w:num w:numId="8" w16cid:durableId="632636094">
    <w:abstractNumId w:val="11"/>
  </w:num>
  <w:num w:numId="9" w16cid:durableId="1153907962">
    <w:abstractNumId w:val="1"/>
  </w:num>
  <w:num w:numId="10" w16cid:durableId="1269389438">
    <w:abstractNumId w:val="7"/>
  </w:num>
  <w:num w:numId="11" w16cid:durableId="1074813988">
    <w:abstractNumId w:val="4"/>
  </w:num>
  <w:num w:numId="12" w16cid:durableId="491027007">
    <w:abstractNumId w:val="6"/>
  </w:num>
  <w:num w:numId="13" w16cid:durableId="135876604">
    <w:abstractNumId w:val="12"/>
  </w:num>
  <w:num w:numId="14" w16cid:durableId="764348663">
    <w:abstractNumId w:val="8"/>
  </w:num>
  <w:num w:numId="15" w16cid:durableId="838734017">
    <w:abstractNumId w:val="2"/>
  </w:num>
  <w:num w:numId="16" w16cid:durableId="63839980">
    <w:abstractNumId w:val="20"/>
  </w:num>
  <w:num w:numId="17" w16cid:durableId="192156088">
    <w:abstractNumId w:val="19"/>
  </w:num>
  <w:num w:numId="18" w16cid:durableId="1497577348">
    <w:abstractNumId w:val="22"/>
  </w:num>
  <w:num w:numId="19" w16cid:durableId="1841654329">
    <w:abstractNumId w:val="17"/>
  </w:num>
  <w:num w:numId="20" w16cid:durableId="694044293">
    <w:abstractNumId w:val="10"/>
  </w:num>
  <w:num w:numId="21" w16cid:durableId="1002321861">
    <w:abstractNumId w:val="0"/>
  </w:num>
  <w:num w:numId="22" w16cid:durableId="496968667">
    <w:abstractNumId w:val="16"/>
  </w:num>
  <w:num w:numId="23" w16cid:durableId="146303781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9E"/>
    <w:rsid w:val="0001714A"/>
    <w:rsid w:val="000323DC"/>
    <w:rsid w:val="00065414"/>
    <w:rsid w:val="000B03AF"/>
    <w:rsid w:val="000D7969"/>
    <w:rsid w:val="000D7D38"/>
    <w:rsid w:val="00103098"/>
    <w:rsid w:val="001465A0"/>
    <w:rsid w:val="00162E61"/>
    <w:rsid w:val="00221195"/>
    <w:rsid w:val="00232D0E"/>
    <w:rsid w:val="00233ED7"/>
    <w:rsid w:val="002A1821"/>
    <w:rsid w:val="002C692F"/>
    <w:rsid w:val="002D05F2"/>
    <w:rsid w:val="0032164C"/>
    <w:rsid w:val="00340CAF"/>
    <w:rsid w:val="003D58D0"/>
    <w:rsid w:val="003D648D"/>
    <w:rsid w:val="003E5C69"/>
    <w:rsid w:val="00413D6F"/>
    <w:rsid w:val="004347A3"/>
    <w:rsid w:val="004C4FCE"/>
    <w:rsid w:val="004D39E7"/>
    <w:rsid w:val="004E5650"/>
    <w:rsid w:val="00517F60"/>
    <w:rsid w:val="0052689F"/>
    <w:rsid w:val="0054460C"/>
    <w:rsid w:val="00553816"/>
    <w:rsid w:val="005A7CBB"/>
    <w:rsid w:val="005C0D9E"/>
    <w:rsid w:val="0061072C"/>
    <w:rsid w:val="0067431A"/>
    <w:rsid w:val="006915F9"/>
    <w:rsid w:val="006C36BD"/>
    <w:rsid w:val="007107EB"/>
    <w:rsid w:val="00712873"/>
    <w:rsid w:val="00722FE8"/>
    <w:rsid w:val="007367F2"/>
    <w:rsid w:val="007423B5"/>
    <w:rsid w:val="00796377"/>
    <w:rsid w:val="007A6F8D"/>
    <w:rsid w:val="00864841"/>
    <w:rsid w:val="008B43E2"/>
    <w:rsid w:val="008F06D2"/>
    <w:rsid w:val="008F0DD3"/>
    <w:rsid w:val="0093215F"/>
    <w:rsid w:val="00936738"/>
    <w:rsid w:val="0094004A"/>
    <w:rsid w:val="00987EF5"/>
    <w:rsid w:val="00994596"/>
    <w:rsid w:val="009D1ACF"/>
    <w:rsid w:val="009E0D0D"/>
    <w:rsid w:val="00A02944"/>
    <w:rsid w:val="00A6096E"/>
    <w:rsid w:val="00AE582E"/>
    <w:rsid w:val="00AE7B54"/>
    <w:rsid w:val="00AF508B"/>
    <w:rsid w:val="00AF7A60"/>
    <w:rsid w:val="00B40FAF"/>
    <w:rsid w:val="00B7680F"/>
    <w:rsid w:val="00B825C8"/>
    <w:rsid w:val="00B96759"/>
    <w:rsid w:val="00C109B3"/>
    <w:rsid w:val="00C341C0"/>
    <w:rsid w:val="00C4092E"/>
    <w:rsid w:val="00C512B4"/>
    <w:rsid w:val="00C71B74"/>
    <w:rsid w:val="00C9070A"/>
    <w:rsid w:val="00C90739"/>
    <w:rsid w:val="00CB3977"/>
    <w:rsid w:val="00D66117"/>
    <w:rsid w:val="00D963C7"/>
    <w:rsid w:val="00DD491F"/>
    <w:rsid w:val="00DF3BC6"/>
    <w:rsid w:val="00DF5E99"/>
    <w:rsid w:val="00E12AE6"/>
    <w:rsid w:val="00E3477E"/>
    <w:rsid w:val="00E46A15"/>
    <w:rsid w:val="00E85838"/>
    <w:rsid w:val="00F14A45"/>
    <w:rsid w:val="00F23776"/>
    <w:rsid w:val="00F43B77"/>
    <w:rsid w:val="00FE13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CD608"/>
  <w15:chartTrackingRefBased/>
  <w15:docId w15:val="{5057EBCB-15D1-47A2-9EC6-D2531F5B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0D9E"/>
    <w:pPr>
      <w:tabs>
        <w:tab w:val="center" w:pos="4536"/>
        <w:tab w:val="right" w:pos="9072"/>
      </w:tabs>
      <w:spacing w:after="0" w:line="240" w:lineRule="auto"/>
    </w:pPr>
  </w:style>
  <w:style w:type="character" w:customStyle="1" w:styleId="En-tteCar">
    <w:name w:val="En-tête Car"/>
    <w:basedOn w:val="Policepardfaut"/>
    <w:link w:val="En-tte"/>
    <w:uiPriority w:val="99"/>
    <w:rsid w:val="005C0D9E"/>
    <w:rPr>
      <w:lang w:val="fr-BE"/>
    </w:rPr>
  </w:style>
  <w:style w:type="paragraph" w:styleId="Pieddepage">
    <w:name w:val="footer"/>
    <w:basedOn w:val="Normal"/>
    <w:link w:val="PieddepageCar"/>
    <w:uiPriority w:val="99"/>
    <w:unhideWhenUsed/>
    <w:rsid w:val="005C0D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0D9E"/>
    <w:rPr>
      <w:lang w:val="fr-BE"/>
    </w:rPr>
  </w:style>
  <w:style w:type="paragraph" w:styleId="Paragraphedeliste">
    <w:name w:val="List Paragraph"/>
    <w:basedOn w:val="Normal"/>
    <w:uiPriority w:val="34"/>
    <w:qFormat/>
    <w:rsid w:val="005C0D9E"/>
    <w:pPr>
      <w:ind w:left="720"/>
      <w:contextualSpacing/>
    </w:pPr>
  </w:style>
  <w:style w:type="paragraph" w:customStyle="1" w:styleId="Default">
    <w:name w:val="Default"/>
    <w:rsid w:val="00413D6F"/>
    <w:pPr>
      <w:autoSpaceDE w:val="0"/>
      <w:autoSpaceDN w:val="0"/>
      <w:adjustRightInd w:val="0"/>
      <w:spacing w:after="0" w:line="240" w:lineRule="auto"/>
    </w:pPr>
    <w:rPr>
      <w:rFonts w:ascii="Times New Roman" w:hAnsi="Times New Roman" w:cs="Times New Roman"/>
      <w:color w:val="000000"/>
      <w:sz w:val="24"/>
      <w:szCs w:val="24"/>
    </w:rPr>
  </w:style>
  <w:style w:type="paragraph" w:styleId="Notedebasdepage">
    <w:name w:val="footnote text"/>
    <w:basedOn w:val="Normal"/>
    <w:link w:val="NotedebasdepageCar"/>
    <w:uiPriority w:val="99"/>
    <w:semiHidden/>
    <w:unhideWhenUsed/>
    <w:rsid w:val="00C341C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341C0"/>
    <w:rPr>
      <w:sz w:val="20"/>
      <w:szCs w:val="20"/>
      <w:lang w:val="fr-BE"/>
    </w:rPr>
  </w:style>
  <w:style w:type="character" w:styleId="Appelnotedebasdep">
    <w:name w:val="footnote reference"/>
    <w:basedOn w:val="Policepardfaut"/>
    <w:uiPriority w:val="99"/>
    <w:semiHidden/>
    <w:unhideWhenUsed/>
    <w:rsid w:val="00C341C0"/>
    <w:rPr>
      <w:vertAlign w:val="superscript"/>
    </w:rPr>
  </w:style>
  <w:style w:type="character" w:styleId="Lienhypertexte">
    <w:name w:val="Hyperlink"/>
    <w:basedOn w:val="Policepardfaut"/>
    <w:uiPriority w:val="99"/>
    <w:unhideWhenUsed/>
    <w:rsid w:val="0094004A"/>
    <w:rPr>
      <w:color w:val="0000FF"/>
      <w:u w:val="single"/>
    </w:rPr>
  </w:style>
  <w:style w:type="character" w:styleId="Mentionnonrsolue">
    <w:name w:val="Unresolved Mention"/>
    <w:basedOn w:val="Policepardfaut"/>
    <w:uiPriority w:val="99"/>
    <w:semiHidden/>
    <w:unhideWhenUsed/>
    <w:rsid w:val="00712873"/>
    <w:rPr>
      <w:color w:val="605E5C"/>
      <w:shd w:val="clear" w:color="auto" w:fill="E1DFDD"/>
    </w:rPr>
  </w:style>
  <w:style w:type="paragraph" w:styleId="Corpsdetexte">
    <w:name w:val="Body Text"/>
    <w:basedOn w:val="Normal"/>
    <w:link w:val="CorpsdetexteCar"/>
    <w:uiPriority w:val="1"/>
    <w:qFormat/>
    <w:rsid w:val="00CB3977"/>
    <w:pPr>
      <w:widowControl w:val="0"/>
      <w:autoSpaceDE w:val="0"/>
      <w:autoSpaceDN w:val="0"/>
      <w:spacing w:after="0" w:line="240" w:lineRule="auto"/>
    </w:pPr>
    <w:rPr>
      <w:rFonts w:ascii="Times New Roman" w:eastAsia="Times New Roman" w:hAnsi="Times New Roman" w:cs="Times New Roman"/>
      <w:lang w:val="fr-FR"/>
    </w:rPr>
  </w:style>
  <w:style w:type="character" w:customStyle="1" w:styleId="CorpsdetexteCar">
    <w:name w:val="Corps de texte Car"/>
    <w:basedOn w:val="Policepardfaut"/>
    <w:link w:val="Corpsdetexte"/>
    <w:uiPriority w:val="1"/>
    <w:rsid w:val="00CB3977"/>
    <w:rPr>
      <w:rFonts w:ascii="Times New Roman" w:eastAsia="Times New Roman" w:hAnsi="Times New Roman" w:cs="Times New Roman"/>
    </w:rPr>
  </w:style>
  <w:style w:type="paragraph" w:styleId="Titre">
    <w:name w:val="Title"/>
    <w:basedOn w:val="Normal"/>
    <w:link w:val="TitreCar"/>
    <w:uiPriority w:val="10"/>
    <w:qFormat/>
    <w:rsid w:val="003E5C69"/>
    <w:pPr>
      <w:widowControl w:val="0"/>
      <w:autoSpaceDE w:val="0"/>
      <w:autoSpaceDN w:val="0"/>
      <w:spacing w:after="0" w:line="240" w:lineRule="auto"/>
      <w:ind w:left="132"/>
    </w:pPr>
    <w:rPr>
      <w:rFonts w:ascii="Times New Roman" w:eastAsia="Times New Roman" w:hAnsi="Times New Roman" w:cs="Times New Roman"/>
      <w:b/>
      <w:bCs/>
      <w:u w:val="single" w:color="000000"/>
      <w:lang w:val="fr-FR"/>
    </w:rPr>
  </w:style>
  <w:style w:type="character" w:customStyle="1" w:styleId="TitreCar">
    <w:name w:val="Titre Car"/>
    <w:basedOn w:val="Policepardfaut"/>
    <w:link w:val="Titre"/>
    <w:uiPriority w:val="10"/>
    <w:rsid w:val="003E5C69"/>
    <w:rPr>
      <w:rFonts w:ascii="Times New Roman" w:eastAsia="Times New Roman" w:hAnsi="Times New Roman" w:cs="Times New Roman"/>
      <w:b/>
      <w:bCs/>
      <w:u w:val="single" w:color="000000"/>
    </w:rPr>
  </w:style>
  <w:style w:type="paragraph" w:styleId="Rvision">
    <w:name w:val="Revision"/>
    <w:hidden/>
    <w:uiPriority w:val="99"/>
    <w:semiHidden/>
    <w:rsid w:val="007423B5"/>
    <w:pPr>
      <w:spacing w:after="0" w:line="240" w:lineRule="auto"/>
    </w:pPr>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f960655-24fd-4f3f-8e9c-285049d99abf" xsi:nil="true"/>
    <lcf76f155ced4ddcb4097134ff3c332f xmlns="86d8d313-957f-44b4-bb66-f96f0d40e904">
      <Terms xmlns="http://schemas.microsoft.com/office/infopath/2007/PartnerControls"/>
    </lcf76f155ced4ddcb4097134ff3c332f>
    <afbeelding xmlns="86d8d313-957f-44b4-bb66-f96f0d40e904" xsi:nil="true"/>
    <nb xmlns="86d8d313-957f-44b4-bb66-f96f0d40e90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9" ma:contentTypeDescription="Create a new document." ma:contentTypeScope="" ma:versionID="ddf3a100450ceadf4e02567bd12f36a6">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58c9c0cccb7c0426fa8632eb013b2e2d"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18316e-a107-409d-b431-985ec685cb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fdd8afc-b80c-4d97-84ec-64aa09854bbf}" ma:internalName="TaxCatchAll" ma:showField="CatchAllData" ma:web="ff960655-24fd-4f3f-8e9c-285049d99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613FF-9F90-408F-B7B3-0D27DA94A745}">
  <ds:schemaRefs>
    <ds:schemaRef ds:uri="http://schemas.microsoft.com/sharepoint/v3/contenttype/forms"/>
  </ds:schemaRefs>
</ds:datastoreItem>
</file>

<file path=customXml/itemProps2.xml><?xml version="1.0" encoding="utf-8"?>
<ds:datastoreItem xmlns:ds="http://schemas.openxmlformats.org/officeDocument/2006/customXml" ds:itemID="{54275F0F-D9A7-4BCE-8511-2CFA1AEF545F}">
  <ds:schemaRefs>
    <ds:schemaRef ds:uri="http://schemas.microsoft.com/office/2006/metadata/properties"/>
    <ds:schemaRef ds:uri="http://schemas.microsoft.com/office/infopath/2007/PartnerControls"/>
    <ds:schemaRef ds:uri="ff960655-24fd-4f3f-8e9c-285049d99abf"/>
    <ds:schemaRef ds:uri="86d8d313-957f-44b4-bb66-f96f0d40e904"/>
  </ds:schemaRefs>
</ds:datastoreItem>
</file>

<file path=customXml/itemProps3.xml><?xml version="1.0" encoding="utf-8"?>
<ds:datastoreItem xmlns:ds="http://schemas.openxmlformats.org/officeDocument/2006/customXml" ds:itemID="{F1994A8E-13A8-467C-8679-61C28C044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AF19B2-EEAB-4761-9028-00FFD6D68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1287</Words>
  <Characters>7340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de bonhome</dc:creator>
  <cp:keywords/>
  <dc:description/>
  <cp:lastModifiedBy>Camille Luxen</cp:lastModifiedBy>
  <cp:revision>33</cp:revision>
  <dcterms:created xsi:type="dcterms:W3CDTF">2023-03-08T13:09:00Z</dcterms:created>
  <dcterms:modified xsi:type="dcterms:W3CDTF">2023-08-02T07:46:00Z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MediaServiceImageTags">
    <vt:lpwstr/>
  </property>
</Properties>
</file>