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26C05810" w:rsidR="003D648D" w:rsidRPr="00712873" w:rsidRDefault="005C0D9E" w:rsidP="007F3F27">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rPr>
      </w:pPr>
      <w:r w:rsidRPr="00712873">
        <w:rPr>
          <w:sz w:val="32"/>
          <w:szCs w:val="32"/>
        </w:rPr>
        <w:t xml:space="preserve">Typologie des risques AML – </w:t>
      </w:r>
      <w:r w:rsidR="00F23776">
        <w:rPr>
          <w:sz w:val="32"/>
          <w:szCs w:val="32"/>
        </w:rPr>
        <w:t>HORECA</w:t>
      </w:r>
      <w:r w:rsidRPr="00712873">
        <w:rPr>
          <w:sz w:val="32"/>
          <w:szCs w:val="32"/>
        </w:rPr>
        <w:t> :</w:t>
      </w:r>
    </w:p>
    <w:p w14:paraId="518483F6" w14:textId="77777777" w:rsidR="00712873" w:rsidRDefault="00712873" w:rsidP="00C165B3">
      <w:pPr>
        <w:ind w:left="567"/>
        <w:contextualSpacing/>
        <w:jc w:val="both"/>
      </w:pPr>
    </w:p>
    <w:p w14:paraId="2F869A4F" w14:textId="1033921C" w:rsidR="003D58D0" w:rsidRDefault="003D58D0" w:rsidP="00B46AF4">
      <w:pPr>
        <w:spacing w:after="120"/>
        <w:ind w:left="567"/>
        <w:jc w:val="both"/>
        <w:rPr>
          <w:sz w:val="24"/>
          <w:szCs w:val="24"/>
        </w:rPr>
      </w:pPr>
      <w:r w:rsidRPr="003D58D0">
        <w:rPr>
          <w:sz w:val="24"/>
          <w:szCs w:val="24"/>
        </w:rPr>
        <w:t xml:space="preserve">Le secteur des prestataires Horeca est un secteur par lequel transite énormément de cash, ce qui en fait un secteur particulièrement menaçant en termes de blanchiment, tout comme </w:t>
      </w:r>
      <w:r w:rsidR="00CB3977" w:rsidRPr="003D58D0">
        <w:rPr>
          <w:sz w:val="24"/>
          <w:szCs w:val="24"/>
        </w:rPr>
        <w:t>en termes de</w:t>
      </w:r>
      <w:r w:rsidRPr="003D58D0">
        <w:rPr>
          <w:sz w:val="24"/>
          <w:szCs w:val="24"/>
        </w:rPr>
        <w:t xml:space="preserve"> fraude fiscale et sociale par ailleurs. </w:t>
      </w:r>
    </w:p>
    <w:p w14:paraId="1ADE3B49" w14:textId="099A40FA" w:rsidR="00CB3977" w:rsidRPr="00E60235" w:rsidRDefault="00CB3977" w:rsidP="00B46AF4">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rPr>
      </w:pPr>
      <w:r w:rsidRPr="00E60235">
        <w:rPr>
          <w:color w:val="4472C4" w:themeColor="accent1"/>
          <w:sz w:val="28"/>
          <w:szCs w:val="28"/>
          <w:u w:val="single" w:color="4472C4" w:themeColor="accent1"/>
        </w:rPr>
        <w:t>Principe</w:t>
      </w:r>
    </w:p>
    <w:p w14:paraId="650DA90B" w14:textId="64DA6CAC" w:rsidR="00B40FAF" w:rsidRDefault="003D58D0" w:rsidP="00B46AF4">
      <w:pPr>
        <w:spacing w:before="120" w:after="120"/>
        <w:ind w:left="567"/>
        <w:jc w:val="both"/>
        <w:rPr>
          <w:sz w:val="24"/>
          <w:szCs w:val="24"/>
        </w:rPr>
      </w:pPr>
      <w:r w:rsidRPr="003D58D0">
        <w:rPr>
          <w:sz w:val="24"/>
          <w:szCs w:val="24"/>
        </w:rPr>
        <w:t>Le secteur peut être un secteur cible pour les criminels qui peuvent</w:t>
      </w:r>
      <w:r w:rsidR="00CB3977">
        <w:rPr>
          <w:sz w:val="24"/>
          <w:szCs w:val="24"/>
        </w:rPr>
        <w:t>,</w:t>
      </w:r>
      <w:r w:rsidRPr="003D58D0">
        <w:rPr>
          <w:sz w:val="24"/>
          <w:szCs w:val="24"/>
        </w:rPr>
        <w:t xml:space="preserve"> en rachetant </w:t>
      </w:r>
      <w:r>
        <w:rPr>
          <w:sz w:val="24"/>
          <w:szCs w:val="24"/>
        </w:rPr>
        <w:t>des établissements HORECA</w:t>
      </w:r>
      <w:r w:rsidR="00CB3977">
        <w:rPr>
          <w:sz w:val="24"/>
          <w:szCs w:val="24"/>
        </w:rPr>
        <w:t>,</w:t>
      </w:r>
      <w:r>
        <w:rPr>
          <w:sz w:val="24"/>
          <w:szCs w:val="24"/>
        </w:rPr>
        <w:t xml:space="preserve"> trouver des moyens d’y blanchir des espèces issues de leurs activités criminelles</w:t>
      </w:r>
      <w:r w:rsidRPr="003D58D0">
        <w:rPr>
          <w:sz w:val="24"/>
          <w:szCs w:val="24"/>
        </w:rPr>
        <w:t xml:space="preserve">. </w:t>
      </w:r>
      <w:r w:rsidR="00CB3977">
        <w:rPr>
          <w:sz w:val="24"/>
          <w:szCs w:val="24"/>
        </w:rPr>
        <w:t>Le rachat de plusieurs fonds de commerce ou l’injection de capitaux dans divers restaurants ou friteries permet d’absorber de grandes quantités de liquidités</w:t>
      </w:r>
      <w:r w:rsidRPr="003D58D0">
        <w:rPr>
          <w:sz w:val="24"/>
          <w:szCs w:val="24"/>
        </w:rPr>
        <w:t xml:space="preserve"> à des fins de blanchiment en conservant des niveaux de revenus crédibles pour le secteur. </w:t>
      </w:r>
      <w:r w:rsidR="00CB3977" w:rsidRPr="003D58D0">
        <w:rPr>
          <w:sz w:val="24"/>
          <w:szCs w:val="24"/>
        </w:rPr>
        <w:t xml:space="preserve">Une fois acquis par les criminels, </w:t>
      </w:r>
      <w:r w:rsidR="00CB3977">
        <w:rPr>
          <w:sz w:val="24"/>
          <w:szCs w:val="24"/>
        </w:rPr>
        <w:t xml:space="preserve">de l’argent sale, sous forme d’espèce peut être mélangé avec la recette journalière de l’établissement </w:t>
      </w:r>
      <w:r w:rsidR="00CB3977" w:rsidRPr="003D58D0">
        <w:rPr>
          <w:sz w:val="24"/>
          <w:szCs w:val="24"/>
        </w:rPr>
        <w:t>(gonflement du chiffre d'affaire</w:t>
      </w:r>
      <w:r w:rsidR="00CB3977">
        <w:rPr>
          <w:sz w:val="24"/>
          <w:szCs w:val="24"/>
        </w:rPr>
        <w:t>s</w:t>
      </w:r>
      <w:r w:rsidR="00CB3977" w:rsidRPr="003D58D0">
        <w:rPr>
          <w:sz w:val="24"/>
          <w:szCs w:val="24"/>
        </w:rPr>
        <w:t xml:space="preserve">). Les établissements Horeca créés à des fins de blanchiment sont bien souvent liquidités </w:t>
      </w:r>
      <w:r w:rsidR="00CB3977">
        <w:rPr>
          <w:sz w:val="24"/>
          <w:szCs w:val="24"/>
        </w:rPr>
        <w:t>rapidement.</w:t>
      </w:r>
    </w:p>
    <w:p w14:paraId="1C444D8B" w14:textId="095AC1EA" w:rsidR="000B03AF" w:rsidRPr="00E60235" w:rsidRDefault="00CB3977" w:rsidP="00C165B3">
      <w:pPr>
        <w:pStyle w:val="Paragraphedeliste"/>
        <w:numPr>
          <w:ilvl w:val="0"/>
          <w:numId w:val="1"/>
        </w:numPr>
        <w:spacing w:before="240" w:after="0"/>
        <w:ind w:left="714" w:hanging="357"/>
        <w:contextualSpacing w:val="0"/>
        <w:jc w:val="both"/>
        <w:rPr>
          <w:color w:val="4472C4" w:themeColor="accent1"/>
          <w:sz w:val="16"/>
          <w:szCs w:val="16"/>
          <w:u w:val="single" w:color="4472C4" w:themeColor="accent1"/>
        </w:rPr>
      </w:pPr>
      <w:r w:rsidRPr="00E60235">
        <w:rPr>
          <w:color w:val="4472C4" w:themeColor="accent1"/>
          <w:sz w:val="28"/>
          <w:szCs w:val="28"/>
          <w:u w:val="single" w:color="4472C4" w:themeColor="accent1"/>
        </w:rPr>
        <w:t>Atténuation de la menace</w:t>
      </w:r>
    </w:p>
    <w:p w14:paraId="5CC4E933" w14:textId="77777777" w:rsidR="00B46AF4" w:rsidRDefault="0056005B" w:rsidP="00B46AF4">
      <w:pPr>
        <w:pStyle w:val="Paragraphedeliste"/>
        <w:numPr>
          <w:ilvl w:val="0"/>
          <w:numId w:val="20"/>
        </w:numPr>
        <w:autoSpaceDE w:val="0"/>
        <w:autoSpaceDN w:val="0"/>
        <w:adjustRightInd w:val="0"/>
        <w:spacing w:before="120" w:after="120" w:line="240" w:lineRule="auto"/>
        <w:ind w:left="1434" w:hanging="357"/>
        <w:contextualSpacing w:val="0"/>
        <w:jc w:val="both"/>
        <w:rPr>
          <w:sz w:val="24"/>
          <w:szCs w:val="24"/>
        </w:rPr>
      </w:pPr>
      <w:r>
        <w:rPr>
          <w:sz w:val="24"/>
          <w:szCs w:val="24"/>
        </w:rPr>
        <w:t>V</w:t>
      </w:r>
      <w:r w:rsidRPr="0056005B">
        <w:rPr>
          <w:sz w:val="24"/>
          <w:szCs w:val="24"/>
        </w:rPr>
        <w:t>u la nature des activités des établissements Horeca, la menace liée au flux internationaux est légère ;</w:t>
      </w:r>
    </w:p>
    <w:p w14:paraId="7024823C" w14:textId="08EF3B5C" w:rsidR="00C63BA3" w:rsidRPr="00B46AF4" w:rsidRDefault="00C63BA3" w:rsidP="00B46AF4">
      <w:pPr>
        <w:pStyle w:val="Paragraphedeliste"/>
        <w:numPr>
          <w:ilvl w:val="0"/>
          <w:numId w:val="20"/>
        </w:numPr>
        <w:autoSpaceDE w:val="0"/>
        <w:autoSpaceDN w:val="0"/>
        <w:adjustRightInd w:val="0"/>
        <w:spacing w:before="120" w:after="120" w:line="240" w:lineRule="auto"/>
        <w:ind w:left="1434" w:hanging="357"/>
        <w:contextualSpacing w:val="0"/>
        <w:jc w:val="both"/>
        <w:rPr>
          <w:sz w:val="24"/>
          <w:szCs w:val="24"/>
        </w:rPr>
      </w:pPr>
      <w:r w:rsidRPr="00B46AF4">
        <w:rPr>
          <w:sz w:val="24"/>
          <w:szCs w:val="24"/>
        </w:rPr>
        <w:t>La menace liée à la présence de juridictions à risque est quasi nulle.</w:t>
      </w:r>
    </w:p>
    <w:p w14:paraId="762D7354" w14:textId="4C8046AF" w:rsidR="00FE134C" w:rsidRPr="00712873" w:rsidRDefault="00FE134C" w:rsidP="00B46AF4">
      <w:pPr>
        <w:spacing w:before="120" w:after="120"/>
        <w:ind w:left="708"/>
        <w:jc w:val="both"/>
        <w:rPr>
          <w:rFonts w:eastAsia="Times New Roman" w:cs="Times New Roman"/>
          <w:sz w:val="24"/>
          <w:szCs w:val="24"/>
        </w:rPr>
      </w:pPr>
      <w:r w:rsidRPr="00712873">
        <w:rPr>
          <w:sz w:val="24"/>
          <w:szCs w:val="24"/>
        </w:rPr>
        <w:t>Toutefois, il y a lieu d’être attentifs aux situations suivantes :</w:t>
      </w:r>
    </w:p>
    <w:p w14:paraId="6C94F3E2" w14:textId="43AFF647" w:rsidR="00712873" w:rsidRPr="00E60235" w:rsidRDefault="00936738" w:rsidP="00C165B3">
      <w:pPr>
        <w:pStyle w:val="Paragraphedeliste"/>
        <w:numPr>
          <w:ilvl w:val="0"/>
          <w:numId w:val="1"/>
        </w:numPr>
        <w:spacing w:before="240" w:after="240"/>
        <w:ind w:left="714" w:hanging="357"/>
        <w:contextualSpacing w:val="0"/>
        <w:jc w:val="both"/>
        <w:rPr>
          <w:color w:val="4472C4" w:themeColor="accent1"/>
          <w:sz w:val="16"/>
          <w:szCs w:val="16"/>
          <w:u w:val="single" w:color="4472C4" w:themeColor="accent1"/>
        </w:rPr>
      </w:pPr>
      <w:r w:rsidRPr="00E60235">
        <w:rPr>
          <w:color w:val="4472C4" w:themeColor="accent1"/>
          <w:sz w:val="28"/>
          <w:szCs w:val="28"/>
          <w:u w:val="single" w:color="4472C4" w:themeColor="accent1"/>
        </w:rPr>
        <w:t>Gouvernance :</w:t>
      </w:r>
      <w:r w:rsidR="00C512B4" w:rsidRPr="00E60235">
        <w:rPr>
          <w:color w:val="4472C4" w:themeColor="accent1"/>
          <w:sz w:val="28"/>
          <w:szCs w:val="28"/>
          <w:u w:val="single" w:color="4472C4" w:themeColor="accent1"/>
        </w:rPr>
        <w:t xml:space="preserve"> </w:t>
      </w:r>
      <w:r w:rsidR="000D7969" w:rsidRPr="00E60235">
        <w:rPr>
          <w:color w:val="4472C4" w:themeColor="accent1"/>
          <w:sz w:val="28"/>
          <w:szCs w:val="28"/>
          <w:u w:val="single" w:color="4472C4" w:themeColor="accent1"/>
        </w:rPr>
        <w:t>forme juridique et actionnariats</w:t>
      </w:r>
    </w:p>
    <w:p w14:paraId="2BE3698A" w14:textId="25BD0D4F" w:rsidR="000B03AF" w:rsidRPr="000D7969" w:rsidRDefault="000B03AF" w:rsidP="00B46AF4">
      <w:pPr>
        <w:pStyle w:val="Paragraphedeliste"/>
        <w:numPr>
          <w:ilvl w:val="0"/>
          <w:numId w:val="2"/>
        </w:numPr>
        <w:spacing w:before="120" w:after="120"/>
        <w:ind w:left="1434" w:hanging="357"/>
        <w:contextualSpacing w:val="0"/>
        <w:jc w:val="both"/>
        <w:rPr>
          <w:sz w:val="24"/>
          <w:szCs w:val="24"/>
        </w:rPr>
      </w:pPr>
      <w:r w:rsidRPr="000D7969">
        <w:rPr>
          <w:sz w:val="24"/>
          <w:szCs w:val="24"/>
        </w:rPr>
        <w:t>Le type de société favorisant l’anonymat : Notons que la formule de la commandite simple favorise à la fois une limitation des responsabilités et une dissimulation des bénéficiaires effectifs en désignant, par exemple, des</w:t>
      </w:r>
      <w:r w:rsidR="000D7969" w:rsidRPr="000D7969">
        <w:rPr>
          <w:sz w:val="24"/>
          <w:szCs w:val="24"/>
        </w:rPr>
        <w:t xml:space="preserve"> </w:t>
      </w:r>
      <w:r w:rsidRPr="000D7969">
        <w:rPr>
          <w:sz w:val="24"/>
          <w:szCs w:val="24"/>
        </w:rPr>
        <w:t>Ltd basées au Royaume-Uni dans la représentation légale de sociétés Horeca, sises en</w:t>
      </w:r>
      <w:r w:rsidR="000D7969" w:rsidRPr="000D7969">
        <w:rPr>
          <w:sz w:val="24"/>
          <w:szCs w:val="24"/>
        </w:rPr>
        <w:t xml:space="preserve"> Belgique </w:t>
      </w:r>
    </w:p>
    <w:p w14:paraId="3A1F16CC" w14:textId="28D170B6" w:rsidR="00AE7B54" w:rsidRPr="00B46AF4" w:rsidRDefault="000B03AF" w:rsidP="00B46AF4">
      <w:pPr>
        <w:pStyle w:val="Paragraphedeliste"/>
        <w:numPr>
          <w:ilvl w:val="1"/>
          <w:numId w:val="2"/>
        </w:numPr>
        <w:spacing w:before="120" w:after="120"/>
        <w:contextualSpacing w:val="0"/>
        <w:jc w:val="both"/>
        <w:rPr>
          <w:sz w:val="24"/>
          <w:szCs w:val="24"/>
        </w:rPr>
      </w:pPr>
      <w:r w:rsidRPr="00B46AF4">
        <w:rPr>
          <w:sz w:val="24"/>
          <w:szCs w:val="24"/>
        </w:rPr>
        <w:t>Sociétés dont les actionnaires sont des étrangers</w:t>
      </w:r>
      <w:r w:rsidR="000D7969" w:rsidRPr="00B46AF4">
        <w:rPr>
          <w:sz w:val="24"/>
          <w:szCs w:val="24"/>
        </w:rPr>
        <w:t xml:space="preserve"> : il a été constaté que des établissements Horeca (des bars, des pizzerias, des sandwicheries, des B&amp;B, des chicha bars ou des friteries), avaient été repris en 2014 par de nombreux Chinois. Ces établissements sont </w:t>
      </w:r>
      <w:r w:rsidR="001C72F5" w:rsidRPr="00B46AF4">
        <w:rPr>
          <w:sz w:val="24"/>
          <w:szCs w:val="24"/>
        </w:rPr>
        <w:t>gér</w:t>
      </w:r>
      <w:r w:rsidR="000D7969" w:rsidRPr="00B46AF4">
        <w:rPr>
          <w:sz w:val="24"/>
          <w:szCs w:val="24"/>
        </w:rPr>
        <w:t>és aux fins de blanchir des revenus d’origine criminelle.</w:t>
      </w:r>
    </w:p>
    <w:p w14:paraId="434AA601" w14:textId="4FD46320" w:rsidR="00C512B4" w:rsidRPr="00E60235" w:rsidRDefault="00C512B4" w:rsidP="00C165B3">
      <w:pPr>
        <w:pStyle w:val="Paragraphedeliste"/>
        <w:numPr>
          <w:ilvl w:val="0"/>
          <w:numId w:val="1"/>
        </w:numPr>
        <w:spacing w:before="240" w:after="240"/>
        <w:ind w:left="714" w:hanging="357"/>
        <w:contextualSpacing w:val="0"/>
        <w:jc w:val="both"/>
        <w:rPr>
          <w:color w:val="4472C4" w:themeColor="accent1"/>
          <w:sz w:val="16"/>
          <w:szCs w:val="16"/>
        </w:rPr>
      </w:pPr>
      <w:r w:rsidRPr="00E60235">
        <w:rPr>
          <w:color w:val="4472C4" w:themeColor="accent1"/>
          <w:sz w:val="28"/>
          <w:szCs w:val="28"/>
          <w:u w:val="single" w:color="4472C4" w:themeColor="accent1"/>
        </w:rPr>
        <w:t>Opérations suspectes :</w:t>
      </w:r>
    </w:p>
    <w:p w14:paraId="0C24422E" w14:textId="679C1466" w:rsidR="00712873" w:rsidRDefault="000D7969" w:rsidP="00B46AF4">
      <w:pPr>
        <w:pStyle w:val="Paragraphedeliste"/>
        <w:numPr>
          <w:ilvl w:val="0"/>
          <w:numId w:val="2"/>
        </w:numPr>
        <w:spacing w:before="120" w:after="120"/>
        <w:ind w:left="1434" w:hanging="357"/>
        <w:contextualSpacing w:val="0"/>
        <w:jc w:val="both"/>
        <w:rPr>
          <w:sz w:val="24"/>
          <w:szCs w:val="24"/>
        </w:rPr>
      </w:pPr>
      <w:r>
        <w:rPr>
          <w:sz w:val="24"/>
          <w:szCs w:val="24"/>
        </w:rPr>
        <w:t xml:space="preserve">L’accroissement soudain du chiffre d’affaires </w:t>
      </w:r>
    </w:p>
    <w:p w14:paraId="209C2E9B" w14:textId="59CD9F64" w:rsidR="002D05F2" w:rsidRPr="00712873" w:rsidRDefault="000D7969" w:rsidP="00B46AF4">
      <w:pPr>
        <w:pStyle w:val="Paragraphedeliste"/>
        <w:numPr>
          <w:ilvl w:val="0"/>
          <w:numId w:val="2"/>
        </w:numPr>
        <w:spacing w:before="120" w:after="120"/>
        <w:ind w:left="1434" w:hanging="357"/>
        <w:contextualSpacing w:val="0"/>
        <w:jc w:val="both"/>
        <w:rPr>
          <w:sz w:val="24"/>
          <w:szCs w:val="24"/>
        </w:rPr>
      </w:pPr>
      <w:r>
        <w:rPr>
          <w:sz w:val="24"/>
          <w:szCs w:val="24"/>
        </w:rPr>
        <w:t>Le niveau de vie exubérant : achat de voiture de luxe, …</w:t>
      </w:r>
    </w:p>
    <w:p w14:paraId="4996837B" w14:textId="61C7FABA" w:rsidR="002D05F2" w:rsidRDefault="000D7969" w:rsidP="00B46AF4">
      <w:pPr>
        <w:pStyle w:val="Paragraphedeliste"/>
        <w:numPr>
          <w:ilvl w:val="0"/>
          <w:numId w:val="2"/>
        </w:numPr>
        <w:spacing w:before="120" w:after="120"/>
        <w:ind w:left="1434" w:hanging="357"/>
        <w:contextualSpacing w:val="0"/>
        <w:jc w:val="both"/>
        <w:rPr>
          <w:sz w:val="24"/>
          <w:szCs w:val="24"/>
        </w:rPr>
      </w:pPr>
      <w:r>
        <w:rPr>
          <w:sz w:val="24"/>
          <w:szCs w:val="24"/>
        </w:rPr>
        <w:t>Fraude sociale : personnel non déclaré</w:t>
      </w:r>
      <w:r w:rsidR="00AE7B54" w:rsidRPr="00712873">
        <w:rPr>
          <w:sz w:val="24"/>
          <w:szCs w:val="24"/>
        </w:rPr>
        <w:t xml:space="preserve"> </w:t>
      </w:r>
    </w:p>
    <w:p w14:paraId="23D7BCBA" w14:textId="34343CBE" w:rsidR="000D7969" w:rsidRDefault="000D7969" w:rsidP="00B46AF4">
      <w:pPr>
        <w:pStyle w:val="Paragraphedeliste"/>
        <w:numPr>
          <w:ilvl w:val="0"/>
          <w:numId w:val="2"/>
        </w:numPr>
        <w:spacing w:before="120" w:after="120"/>
        <w:ind w:left="1434" w:hanging="357"/>
        <w:contextualSpacing w:val="0"/>
        <w:jc w:val="both"/>
        <w:rPr>
          <w:sz w:val="24"/>
          <w:szCs w:val="24"/>
        </w:rPr>
      </w:pPr>
      <w:r>
        <w:rPr>
          <w:sz w:val="24"/>
          <w:szCs w:val="24"/>
        </w:rPr>
        <w:t>Fausses factures</w:t>
      </w:r>
    </w:p>
    <w:p w14:paraId="46EF919D" w14:textId="6330D3AA" w:rsidR="000D7969" w:rsidRDefault="000D7969" w:rsidP="00B46AF4">
      <w:pPr>
        <w:pStyle w:val="Paragraphedeliste"/>
        <w:numPr>
          <w:ilvl w:val="0"/>
          <w:numId w:val="2"/>
        </w:numPr>
        <w:spacing w:before="120" w:after="120"/>
        <w:ind w:left="1434" w:hanging="357"/>
        <w:contextualSpacing w:val="0"/>
        <w:jc w:val="both"/>
        <w:rPr>
          <w:sz w:val="24"/>
          <w:szCs w:val="24"/>
        </w:rPr>
      </w:pPr>
      <w:r>
        <w:rPr>
          <w:sz w:val="24"/>
          <w:szCs w:val="24"/>
        </w:rPr>
        <w:t>Liquidation de la société après un court laps de temps</w:t>
      </w:r>
    </w:p>
    <w:p w14:paraId="633515CB" w14:textId="0B854942" w:rsidR="000D7969" w:rsidRDefault="000D7969" w:rsidP="00C165B3">
      <w:pPr>
        <w:jc w:val="both"/>
        <w:rPr>
          <w:sz w:val="24"/>
          <w:szCs w:val="24"/>
        </w:rPr>
      </w:pPr>
    </w:p>
    <w:p w14:paraId="5FAE40EF" w14:textId="77777777" w:rsidR="007F3F27" w:rsidRDefault="007F3F27">
      <w:pPr>
        <w:rPr>
          <w:rFonts w:ascii="Times New Roman" w:hAnsi="Times New Roman" w:cs="Times New Roman"/>
          <w:b/>
          <w:bCs/>
          <w:color w:val="000000"/>
          <w:sz w:val="32"/>
          <w:szCs w:val="32"/>
        </w:rPr>
      </w:pPr>
      <w:r>
        <w:rPr>
          <w:b/>
          <w:bCs/>
          <w:sz w:val="32"/>
          <w:szCs w:val="32"/>
        </w:rPr>
        <w:br w:type="page"/>
      </w:r>
    </w:p>
    <w:p w14:paraId="785BDCD9" w14:textId="54C333FD" w:rsidR="00722FE8" w:rsidRPr="00C4092E" w:rsidRDefault="00C4092E" w:rsidP="007F3F27">
      <w:pPr>
        <w:pStyle w:val="Default"/>
        <w:jc w:val="center"/>
        <w:rPr>
          <w:b/>
          <w:bCs/>
          <w:sz w:val="32"/>
          <w:szCs w:val="32"/>
          <w:lang w:val="fr-BE"/>
        </w:rPr>
      </w:pPr>
      <w:r>
        <w:rPr>
          <w:b/>
          <w:bCs/>
          <w:sz w:val="32"/>
          <w:szCs w:val="32"/>
          <w:lang w:val="fr-BE"/>
        </w:rPr>
        <w:lastRenderedPageBreak/>
        <w:t>Extrait du r</w:t>
      </w:r>
      <w:r w:rsidR="000D7969" w:rsidRPr="00C4092E">
        <w:rPr>
          <w:b/>
          <w:bCs/>
          <w:sz w:val="32"/>
          <w:szCs w:val="32"/>
          <w:lang w:val="fr-BE"/>
        </w:rPr>
        <w:t>apport de la CTIF - 2016 :</w:t>
      </w:r>
    </w:p>
    <w:p w14:paraId="2F4B0269" w14:textId="361868EF" w:rsidR="000D7969" w:rsidRDefault="000D7969" w:rsidP="00C165B3">
      <w:pPr>
        <w:pStyle w:val="Paragraphedeliste"/>
        <w:ind w:left="1151"/>
        <w:jc w:val="both"/>
        <w:rPr>
          <w:sz w:val="24"/>
          <w:szCs w:val="24"/>
        </w:rPr>
      </w:pPr>
    </w:p>
    <w:p w14:paraId="439735DE" w14:textId="57A4D66C" w:rsidR="00C4092E" w:rsidRPr="00C4092E" w:rsidRDefault="00C4092E" w:rsidP="00C165B3">
      <w:pPr>
        <w:pStyle w:val="Corpsdetexte"/>
        <w:spacing w:line="247" w:lineRule="auto"/>
        <w:ind w:left="567" w:right="567" w:firstLine="3"/>
        <w:jc w:val="both"/>
        <w:rPr>
          <w:b/>
          <w:bCs/>
          <w:color w:val="0F0F0F"/>
          <w:w w:val="105"/>
        </w:rPr>
      </w:pPr>
      <w:r w:rsidRPr="00C4092E">
        <w:rPr>
          <w:b/>
          <w:bCs/>
          <w:color w:val="0F0F0F"/>
          <w:w w:val="105"/>
        </w:rPr>
        <w:t>2.4 Le secteur HORECA</w:t>
      </w:r>
    </w:p>
    <w:p w14:paraId="69C2E3D8" w14:textId="77777777" w:rsidR="00C4092E" w:rsidRDefault="00C4092E" w:rsidP="00C165B3">
      <w:pPr>
        <w:pStyle w:val="Corpsdetexte"/>
        <w:spacing w:line="247" w:lineRule="auto"/>
        <w:ind w:left="567" w:right="567" w:firstLine="3"/>
        <w:jc w:val="both"/>
        <w:rPr>
          <w:color w:val="0F0F0F"/>
          <w:w w:val="105"/>
        </w:rPr>
      </w:pPr>
    </w:p>
    <w:p w14:paraId="4BB2815B" w14:textId="1F8E09B0" w:rsidR="000D7969" w:rsidRDefault="000D7969" w:rsidP="00C165B3">
      <w:pPr>
        <w:pStyle w:val="Corpsdetexte"/>
        <w:spacing w:line="247" w:lineRule="auto"/>
        <w:ind w:left="567" w:right="567" w:firstLine="3"/>
        <w:jc w:val="both"/>
      </w:pPr>
      <w:r>
        <w:rPr>
          <w:color w:val="0F0F0F"/>
          <w:w w:val="105"/>
        </w:rPr>
        <w:t>Le secteur HORECA présente plusieurs vulnérabilités</w:t>
      </w:r>
      <w:r>
        <w:rPr>
          <w:color w:val="0F0F0F"/>
          <w:spacing w:val="-5"/>
          <w:w w:val="105"/>
        </w:rPr>
        <w:t xml:space="preserve"> </w:t>
      </w:r>
      <w:r>
        <w:rPr>
          <w:color w:val="0F0F0F"/>
          <w:w w:val="105"/>
        </w:rPr>
        <w:t>en matière de blanchiment. Ce</w:t>
      </w:r>
      <w:r>
        <w:rPr>
          <w:color w:val="0F0F0F"/>
          <w:spacing w:val="-2"/>
          <w:w w:val="105"/>
        </w:rPr>
        <w:t xml:space="preserve"> </w:t>
      </w:r>
      <w:r>
        <w:rPr>
          <w:color w:val="0F0F0F"/>
          <w:w w:val="105"/>
        </w:rPr>
        <w:t>secteur génère</w:t>
      </w:r>
      <w:r>
        <w:rPr>
          <w:color w:val="0F0F0F"/>
          <w:spacing w:val="-3"/>
          <w:w w:val="105"/>
        </w:rPr>
        <w:t xml:space="preserve"> </w:t>
      </w:r>
      <w:r>
        <w:rPr>
          <w:color w:val="0F0F0F"/>
          <w:w w:val="105"/>
        </w:rPr>
        <w:t>de</w:t>
      </w:r>
      <w:r>
        <w:rPr>
          <w:color w:val="0F0F0F"/>
          <w:spacing w:val="-7"/>
          <w:w w:val="105"/>
        </w:rPr>
        <w:t xml:space="preserve"> </w:t>
      </w:r>
      <w:r>
        <w:rPr>
          <w:color w:val="0F0F0F"/>
          <w:w w:val="105"/>
        </w:rPr>
        <w:t>gros</w:t>
      </w:r>
      <w:r>
        <w:rPr>
          <w:color w:val="0F0F0F"/>
          <w:spacing w:val="-4"/>
          <w:w w:val="105"/>
        </w:rPr>
        <w:t xml:space="preserve"> </w:t>
      </w:r>
      <w:r>
        <w:rPr>
          <w:color w:val="0F0F0F"/>
          <w:w w:val="105"/>
        </w:rPr>
        <w:t>flux</w:t>
      </w:r>
      <w:r>
        <w:rPr>
          <w:color w:val="0F0F0F"/>
          <w:spacing w:val="-1"/>
          <w:w w:val="105"/>
        </w:rPr>
        <w:t xml:space="preserve"> </w:t>
      </w:r>
      <w:r>
        <w:rPr>
          <w:color w:val="0F0F0F"/>
          <w:w w:val="105"/>
        </w:rPr>
        <w:t>d'espèces et</w:t>
      </w:r>
      <w:r>
        <w:rPr>
          <w:color w:val="0F0F0F"/>
          <w:spacing w:val="-3"/>
          <w:w w:val="105"/>
        </w:rPr>
        <w:t xml:space="preserve"> </w:t>
      </w:r>
      <w:r>
        <w:rPr>
          <w:color w:val="0F0F0F"/>
          <w:w w:val="105"/>
        </w:rPr>
        <w:t>les</w:t>
      </w:r>
      <w:r>
        <w:rPr>
          <w:color w:val="0F0F0F"/>
          <w:spacing w:val="-11"/>
          <w:w w:val="105"/>
        </w:rPr>
        <w:t xml:space="preserve"> </w:t>
      </w:r>
      <w:r>
        <w:rPr>
          <w:color w:val="0F0F0F"/>
          <w:w w:val="105"/>
        </w:rPr>
        <w:t>établissements</w:t>
      </w:r>
      <w:r>
        <w:rPr>
          <w:color w:val="0F0F0F"/>
          <w:spacing w:val="-14"/>
          <w:w w:val="105"/>
        </w:rPr>
        <w:t xml:space="preserve"> </w:t>
      </w:r>
      <w:r>
        <w:rPr>
          <w:color w:val="0F0F0F"/>
          <w:w w:val="105"/>
        </w:rPr>
        <w:t>HORECA présentent l'avantage de</w:t>
      </w:r>
      <w:r>
        <w:rPr>
          <w:color w:val="0F0F0F"/>
          <w:spacing w:val="-6"/>
          <w:w w:val="105"/>
        </w:rPr>
        <w:t xml:space="preserve"> </w:t>
      </w:r>
      <w:r>
        <w:rPr>
          <w:color w:val="0F0F0F"/>
          <w:w w:val="105"/>
        </w:rPr>
        <w:t xml:space="preserve">pouvoir justifier </w:t>
      </w:r>
      <w:r>
        <w:rPr>
          <w:w w:val="105"/>
        </w:rPr>
        <w:t xml:space="preserve">la </w:t>
      </w:r>
      <w:r>
        <w:rPr>
          <w:color w:val="0F0F0F"/>
          <w:w w:val="105"/>
        </w:rPr>
        <w:t xml:space="preserve">perception régulière d'importantes quantités d'argent liquide. De l'argent d'origine illicite peut aisément être amalgamé aux rentrées licites de l'établissement ou servir </w:t>
      </w:r>
      <w:r>
        <w:rPr>
          <w:rFonts w:ascii="Arial" w:hAnsi="Arial"/>
          <w:color w:val="0F0F0F"/>
          <w:w w:val="105"/>
          <w:sz w:val="20"/>
        </w:rPr>
        <w:t xml:space="preserve">à </w:t>
      </w:r>
      <w:r>
        <w:rPr>
          <w:color w:val="0F0F0F"/>
          <w:w w:val="105"/>
        </w:rPr>
        <w:t xml:space="preserve">rémunérer du personnel non déclaré. Le gonflement du chiffre d'affaires afin de permettre d'injecter de l'argent à blanchir est une pratique répandue, d'autant plus facilitée par le </w:t>
      </w:r>
      <w:r w:rsidR="00C4092E">
        <w:rPr>
          <w:color w:val="0F0F0F"/>
          <w:w w:val="105"/>
        </w:rPr>
        <w:t>turf</w:t>
      </w:r>
      <w:r>
        <w:rPr>
          <w:color w:val="0F0F0F"/>
          <w:w w:val="105"/>
        </w:rPr>
        <w:t xml:space="preserve"> over </w:t>
      </w:r>
      <w:r w:rsidR="00C4092E">
        <w:rPr>
          <w:color w:val="0F0F0F"/>
          <w:w w:val="105"/>
        </w:rPr>
        <w:t>important. Le</w:t>
      </w:r>
      <w:r>
        <w:rPr>
          <w:color w:val="0F0F0F"/>
          <w:w w:val="105"/>
        </w:rPr>
        <w:t xml:space="preserve"> recours </w:t>
      </w:r>
      <w:r>
        <w:rPr>
          <w:color w:val="0F0F0F"/>
          <w:w w:val="105"/>
          <w:sz w:val="21"/>
        </w:rPr>
        <w:t xml:space="preserve">à </w:t>
      </w:r>
      <w:r>
        <w:rPr>
          <w:color w:val="0F0F0F"/>
          <w:w w:val="105"/>
        </w:rPr>
        <w:t xml:space="preserve">des hommes de paille est observé, permettant l'anonymat des commanditaires désireux de frauder, de même que l'utilisation de faux </w:t>
      </w:r>
      <w:r w:rsidR="00C4092E">
        <w:rPr>
          <w:color w:val="0F0F0F"/>
          <w:w w:val="105"/>
        </w:rPr>
        <w:t>documents :</w:t>
      </w:r>
      <w:r>
        <w:rPr>
          <w:color w:val="0F0F0F"/>
          <w:w w:val="105"/>
        </w:rPr>
        <w:t xml:space="preserve"> fausses factures, fausses souches TVA et faux C4.</w:t>
      </w:r>
    </w:p>
    <w:p w14:paraId="1A195DB9" w14:textId="77777777" w:rsidR="000D7969" w:rsidRDefault="000D7969" w:rsidP="00C165B3">
      <w:pPr>
        <w:pStyle w:val="Corpsdetexte"/>
        <w:spacing w:before="8"/>
        <w:ind w:left="567" w:right="567"/>
        <w:jc w:val="both"/>
      </w:pPr>
    </w:p>
    <w:p w14:paraId="5A2D37A1" w14:textId="271669CC" w:rsidR="000D7969" w:rsidRDefault="000D7969" w:rsidP="00C165B3">
      <w:pPr>
        <w:pStyle w:val="Corpsdetexte"/>
        <w:spacing w:before="1" w:line="247" w:lineRule="auto"/>
        <w:ind w:left="567" w:right="567" w:firstLine="4"/>
        <w:jc w:val="both"/>
      </w:pPr>
      <w:r>
        <w:rPr>
          <w:color w:val="0F0F0F"/>
          <w:w w:val="105"/>
        </w:rPr>
        <w:t>Les</w:t>
      </w:r>
      <w:r>
        <w:rPr>
          <w:color w:val="0F0F0F"/>
          <w:spacing w:val="-15"/>
          <w:w w:val="105"/>
        </w:rPr>
        <w:t xml:space="preserve"> </w:t>
      </w:r>
      <w:r>
        <w:rPr>
          <w:color w:val="0F0F0F"/>
          <w:w w:val="105"/>
        </w:rPr>
        <w:t xml:space="preserve">secteurs comme celui de l'Horeca, dont les entreprises ont une courte durée de vie, sont plus vulnérables en matière de fraude et de blanchiment. Le secteur est confronté </w:t>
      </w:r>
      <w:r>
        <w:rPr>
          <w:rFonts w:ascii="Arial" w:hAnsi="Arial"/>
          <w:color w:val="0F0F0F"/>
          <w:w w:val="105"/>
          <w:sz w:val="20"/>
        </w:rPr>
        <w:t xml:space="preserve">à </w:t>
      </w:r>
      <w:r>
        <w:rPr>
          <w:color w:val="0F0F0F"/>
          <w:w w:val="105"/>
        </w:rPr>
        <w:t xml:space="preserve">un phénomène de sociétés </w:t>
      </w:r>
      <w:r>
        <w:rPr>
          <w:color w:val="0F0F0F"/>
          <w:w w:val="105"/>
          <w:sz w:val="21"/>
        </w:rPr>
        <w:t>«</w:t>
      </w:r>
      <w:r>
        <w:rPr>
          <w:color w:val="0F0F0F"/>
          <w:spacing w:val="-14"/>
          <w:w w:val="105"/>
          <w:sz w:val="21"/>
        </w:rPr>
        <w:t xml:space="preserve"> </w:t>
      </w:r>
      <w:r>
        <w:rPr>
          <w:color w:val="0F0F0F"/>
          <w:w w:val="105"/>
        </w:rPr>
        <w:t xml:space="preserve">éphémères </w:t>
      </w:r>
      <w:r>
        <w:rPr>
          <w:color w:val="0F0F0F"/>
          <w:w w:val="105"/>
          <w:sz w:val="21"/>
        </w:rPr>
        <w:t xml:space="preserve">» </w:t>
      </w:r>
      <w:r>
        <w:rPr>
          <w:color w:val="0F0F0F"/>
          <w:w w:val="105"/>
        </w:rPr>
        <w:t xml:space="preserve">et </w:t>
      </w:r>
      <w:r>
        <w:rPr>
          <w:rFonts w:ascii="Arial" w:hAnsi="Arial"/>
          <w:color w:val="0F0F0F"/>
          <w:w w:val="105"/>
          <w:sz w:val="21"/>
        </w:rPr>
        <w:t>à</w:t>
      </w:r>
      <w:r>
        <w:rPr>
          <w:rFonts w:ascii="Arial" w:hAnsi="Arial"/>
          <w:color w:val="0F0F0F"/>
          <w:spacing w:val="-5"/>
          <w:w w:val="105"/>
          <w:sz w:val="21"/>
        </w:rPr>
        <w:t xml:space="preserve"> </w:t>
      </w:r>
      <w:r>
        <w:rPr>
          <w:color w:val="0F0F0F"/>
          <w:w w:val="105"/>
        </w:rPr>
        <w:t xml:space="preserve">des montages visant </w:t>
      </w:r>
      <w:r>
        <w:rPr>
          <w:rFonts w:ascii="Arial" w:hAnsi="Arial"/>
          <w:color w:val="0F0F0F"/>
          <w:w w:val="105"/>
          <w:sz w:val="21"/>
        </w:rPr>
        <w:t>à</w:t>
      </w:r>
      <w:r>
        <w:rPr>
          <w:rFonts w:ascii="Arial" w:hAnsi="Arial"/>
          <w:color w:val="0F0F0F"/>
          <w:spacing w:val="-5"/>
          <w:w w:val="105"/>
          <w:sz w:val="21"/>
        </w:rPr>
        <w:t xml:space="preserve"> </w:t>
      </w:r>
      <w:r>
        <w:rPr>
          <w:color w:val="0F0F0F"/>
          <w:w w:val="105"/>
        </w:rPr>
        <w:t>permettre la facturation de faux services, facilitant ainsi la sortie de cash des comptabilités. La déclaration en faillite, la mise en liquidation, l'abandon ou le remplacement d'une construction juridique par une autre après</w:t>
      </w:r>
      <w:r>
        <w:rPr>
          <w:color w:val="0F0F0F"/>
          <w:spacing w:val="-2"/>
          <w:w w:val="105"/>
        </w:rPr>
        <w:t xml:space="preserve"> </w:t>
      </w:r>
      <w:r>
        <w:rPr>
          <w:color w:val="0F0F0F"/>
          <w:w w:val="105"/>
        </w:rPr>
        <w:t>un court</w:t>
      </w:r>
      <w:r>
        <w:rPr>
          <w:color w:val="0F0F0F"/>
          <w:spacing w:val="-1"/>
          <w:w w:val="105"/>
        </w:rPr>
        <w:t xml:space="preserve"> </w:t>
      </w:r>
      <w:r>
        <w:rPr>
          <w:color w:val="0F0F0F"/>
          <w:w w:val="105"/>
        </w:rPr>
        <w:t>laps</w:t>
      </w:r>
      <w:r>
        <w:rPr>
          <w:color w:val="0F0F0F"/>
          <w:spacing w:val="-6"/>
          <w:w w:val="105"/>
        </w:rPr>
        <w:t xml:space="preserve"> </w:t>
      </w:r>
      <w:r>
        <w:rPr>
          <w:color w:val="0F0F0F"/>
          <w:w w:val="105"/>
        </w:rPr>
        <w:t>de</w:t>
      </w:r>
      <w:r>
        <w:rPr>
          <w:color w:val="0F0F0F"/>
          <w:spacing w:val="-6"/>
          <w:w w:val="105"/>
        </w:rPr>
        <w:t xml:space="preserve"> </w:t>
      </w:r>
      <w:r>
        <w:rPr>
          <w:color w:val="0F0F0F"/>
          <w:w w:val="105"/>
        </w:rPr>
        <w:t xml:space="preserve">temps (en général </w:t>
      </w:r>
      <w:r>
        <w:rPr>
          <w:rFonts w:ascii="Arial" w:hAnsi="Arial"/>
          <w:color w:val="0F0F0F"/>
          <w:w w:val="105"/>
          <w:sz w:val="20"/>
        </w:rPr>
        <w:t>à</w:t>
      </w:r>
      <w:r>
        <w:rPr>
          <w:rFonts w:ascii="Arial" w:hAnsi="Arial"/>
          <w:color w:val="0F0F0F"/>
          <w:spacing w:val="-14"/>
          <w:w w:val="105"/>
          <w:sz w:val="20"/>
        </w:rPr>
        <w:t xml:space="preserve"> </w:t>
      </w:r>
      <w:r>
        <w:rPr>
          <w:color w:val="0F0F0F"/>
          <w:w w:val="105"/>
        </w:rPr>
        <w:t>partir du</w:t>
      </w:r>
      <w:r>
        <w:rPr>
          <w:color w:val="0F0F0F"/>
          <w:spacing w:val="-4"/>
          <w:w w:val="105"/>
        </w:rPr>
        <w:t xml:space="preserve"> </w:t>
      </w:r>
      <w:r>
        <w:rPr>
          <w:color w:val="0F0F0F"/>
          <w:w w:val="105"/>
        </w:rPr>
        <w:t>moment où</w:t>
      </w:r>
      <w:r>
        <w:rPr>
          <w:color w:val="0F0F0F"/>
          <w:spacing w:val="-4"/>
          <w:w w:val="105"/>
        </w:rPr>
        <w:t xml:space="preserve"> </w:t>
      </w:r>
      <w:r>
        <w:rPr>
          <w:color w:val="0F0F0F"/>
          <w:w w:val="105"/>
        </w:rPr>
        <w:t>des</w:t>
      </w:r>
      <w:r>
        <w:rPr>
          <w:color w:val="0F0F0F"/>
          <w:spacing w:val="-3"/>
          <w:w w:val="105"/>
        </w:rPr>
        <w:t xml:space="preserve"> </w:t>
      </w:r>
      <w:r>
        <w:rPr>
          <w:color w:val="0F0F0F"/>
          <w:w w:val="105"/>
        </w:rPr>
        <w:t>contrôles TVA ou</w:t>
      </w:r>
      <w:r>
        <w:rPr>
          <w:color w:val="0F0F0F"/>
          <w:spacing w:val="-1"/>
          <w:w w:val="105"/>
        </w:rPr>
        <w:t xml:space="preserve"> </w:t>
      </w:r>
      <w:r>
        <w:rPr>
          <w:color w:val="0F0F0F"/>
          <w:w w:val="105"/>
        </w:rPr>
        <w:t xml:space="preserve">fiscaux </w:t>
      </w:r>
      <w:r>
        <w:rPr>
          <w:color w:val="232323"/>
          <w:w w:val="105"/>
        </w:rPr>
        <w:t xml:space="preserve">sont </w:t>
      </w:r>
      <w:r>
        <w:rPr>
          <w:color w:val="0F0F0F"/>
          <w:w w:val="105"/>
        </w:rPr>
        <w:t>lancés par l'administration), sont des phénomènes qui reviennent régulièrement dans les schémas</w:t>
      </w:r>
      <w:r>
        <w:rPr>
          <w:color w:val="0F0F0F"/>
          <w:spacing w:val="-2"/>
          <w:w w:val="105"/>
        </w:rPr>
        <w:t xml:space="preserve"> </w:t>
      </w:r>
      <w:r>
        <w:rPr>
          <w:color w:val="0F0F0F"/>
          <w:w w:val="105"/>
        </w:rPr>
        <w:t>de</w:t>
      </w:r>
      <w:r>
        <w:rPr>
          <w:color w:val="0F0F0F"/>
          <w:spacing w:val="-5"/>
          <w:w w:val="105"/>
        </w:rPr>
        <w:t xml:space="preserve"> </w:t>
      </w:r>
      <w:r>
        <w:rPr>
          <w:color w:val="0F0F0F"/>
          <w:w w:val="105"/>
        </w:rPr>
        <w:t>fraude</w:t>
      </w:r>
      <w:r>
        <w:rPr>
          <w:color w:val="0F0F0F"/>
          <w:spacing w:val="-1"/>
          <w:w w:val="105"/>
        </w:rPr>
        <w:t xml:space="preserve"> </w:t>
      </w:r>
      <w:r>
        <w:rPr>
          <w:color w:val="0F0F0F"/>
          <w:w w:val="105"/>
        </w:rPr>
        <w:t>et</w:t>
      </w:r>
      <w:r>
        <w:rPr>
          <w:color w:val="0F0F0F"/>
          <w:spacing w:val="-3"/>
          <w:w w:val="105"/>
        </w:rPr>
        <w:t xml:space="preserve"> </w:t>
      </w:r>
      <w:r>
        <w:rPr>
          <w:color w:val="0F0F0F"/>
          <w:w w:val="105"/>
        </w:rPr>
        <w:t>de</w:t>
      </w:r>
      <w:r>
        <w:rPr>
          <w:color w:val="0F0F0F"/>
          <w:spacing w:val="-1"/>
          <w:w w:val="105"/>
        </w:rPr>
        <w:t xml:space="preserve"> </w:t>
      </w:r>
      <w:r>
        <w:rPr>
          <w:color w:val="0F0F0F"/>
          <w:w w:val="105"/>
        </w:rPr>
        <w:t>blanchiment. La</w:t>
      </w:r>
      <w:r>
        <w:rPr>
          <w:color w:val="0F0F0F"/>
          <w:spacing w:val="-7"/>
          <w:w w:val="105"/>
        </w:rPr>
        <w:t xml:space="preserve"> </w:t>
      </w:r>
      <w:r>
        <w:rPr>
          <w:color w:val="0F0F0F"/>
          <w:w w:val="105"/>
        </w:rPr>
        <w:t>rotation des</w:t>
      </w:r>
      <w:r>
        <w:rPr>
          <w:color w:val="0F0F0F"/>
          <w:spacing w:val="-9"/>
          <w:w w:val="105"/>
        </w:rPr>
        <w:t xml:space="preserve"> </w:t>
      </w:r>
      <w:r>
        <w:rPr>
          <w:color w:val="0F0F0F"/>
          <w:w w:val="105"/>
        </w:rPr>
        <w:t>gérants</w:t>
      </w:r>
      <w:r>
        <w:rPr>
          <w:color w:val="0F0F0F"/>
          <w:spacing w:val="-1"/>
          <w:w w:val="105"/>
        </w:rPr>
        <w:t xml:space="preserve"> </w:t>
      </w:r>
      <w:r>
        <w:rPr>
          <w:color w:val="0F0F0F"/>
          <w:w w:val="105"/>
        </w:rPr>
        <w:t>est</w:t>
      </w:r>
      <w:r>
        <w:rPr>
          <w:color w:val="0F0F0F"/>
          <w:spacing w:val="-3"/>
          <w:w w:val="105"/>
        </w:rPr>
        <w:t xml:space="preserve"> </w:t>
      </w:r>
      <w:r>
        <w:rPr>
          <w:color w:val="0F0F0F"/>
          <w:w w:val="105"/>
        </w:rPr>
        <w:t>en</w:t>
      </w:r>
      <w:r>
        <w:rPr>
          <w:color w:val="0F0F0F"/>
          <w:spacing w:val="-4"/>
          <w:w w:val="105"/>
        </w:rPr>
        <w:t xml:space="preserve"> </w:t>
      </w:r>
      <w:r>
        <w:rPr>
          <w:color w:val="0F0F0F"/>
          <w:w w:val="105"/>
        </w:rPr>
        <w:t>outre</w:t>
      </w:r>
      <w:r>
        <w:rPr>
          <w:color w:val="0F0F0F"/>
          <w:spacing w:val="-5"/>
          <w:w w:val="105"/>
        </w:rPr>
        <w:t xml:space="preserve"> </w:t>
      </w:r>
      <w:r>
        <w:rPr>
          <w:color w:val="0F0F0F"/>
          <w:w w:val="105"/>
        </w:rPr>
        <w:t>élevée.</w:t>
      </w:r>
    </w:p>
    <w:p w14:paraId="13BC08E3" w14:textId="77777777" w:rsidR="000D7969" w:rsidRDefault="000D7969" w:rsidP="00C165B3">
      <w:pPr>
        <w:pStyle w:val="Corpsdetexte"/>
        <w:spacing w:before="2"/>
        <w:ind w:left="567" w:right="567"/>
        <w:jc w:val="both"/>
      </w:pPr>
    </w:p>
    <w:p w14:paraId="2FADA76F" w14:textId="77777777" w:rsidR="000D7969" w:rsidRDefault="000D7969" w:rsidP="00C165B3">
      <w:pPr>
        <w:pStyle w:val="Corpsdetexte"/>
        <w:spacing w:line="247" w:lineRule="auto"/>
        <w:ind w:left="567" w:right="567"/>
        <w:jc w:val="both"/>
      </w:pPr>
      <w:r>
        <w:rPr>
          <w:color w:val="0F0F0F"/>
        </w:rPr>
        <w:t xml:space="preserve">Vu l'ampleur du marché, le grand nombre d'acteurs dans le secteur impacte sur la capacité des autorités de contrôle </w:t>
      </w:r>
      <w:r>
        <w:rPr>
          <w:rFonts w:ascii="Arial" w:hAnsi="Arial"/>
          <w:color w:val="0F0F0F"/>
          <w:sz w:val="20"/>
        </w:rPr>
        <w:t xml:space="preserve">à </w:t>
      </w:r>
      <w:r>
        <w:rPr>
          <w:color w:val="0F0F0F"/>
        </w:rPr>
        <w:t>surveiller correctement</w:t>
      </w:r>
      <w:r>
        <w:rPr>
          <w:color w:val="0F0F0F"/>
          <w:spacing w:val="40"/>
        </w:rPr>
        <w:t xml:space="preserve"> </w:t>
      </w:r>
      <w:r>
        <w:rPr>
          <w:color w:val="0F0F0F"/>
        </w:rPr>
        <w:t>celui-ci.</w:t>
      </w:r>
    </w:p>
    <w:p w14:paraId="33FD254B" w14:textId="77777777" w:rsidR="000D7969" w:rsidRDefault="000D7969" w:rsidP="00C165B3">
      <w:pPr>
        <w:pStyle w:val="Corpsdetexte"/>
        <w:spacing w:before="9"/>
        <w:ind w:left="567" w:right="567"/>
        <w:jc w:val="both"/>
      </w:pPr>
    </w:p>
    <w:p w14:paraId="118C6B2A" w14:textId="77777777" w:rsidR="000D7969" w:rsidRDefault="000D7969" w:rsidP="00C165B3">
      <w:pPr>
        <w:pStyle w:val="Corpsdetexte"/>
        <w:spacing w:before="1" w:line="247" w:lineRule="auto"/>
        <w:ind w:left="567" w:right="567" w:firstLine="3"/>
        <w:jc w:val="both"/>
      </w:pPr>
      <w:r>
        <w:rPr>
          <w:color w:val="0F0F0F"/>
          <w:w w:val="105"/>
        </w:rPr>
        <w:t>L'expérience de</w:t>
      </w:r>
      <w:r>
        <w:rPr>
          <w:color w:val="0F0F0F"/>
          <w:spacing w:val="-6"/>
          <w:w w:val="105"/>
        </w:rPr>
        <w:t xml:space="preserve"> </w:t>
      </w:r>
      <w:r>
        <w:rPr>
          <w:color w:val="0F0F0F"/>
          <w:w w:val="105"/>
        </w:rPr>
        <w:t>la</w:t>
      </w:r>
      <w:r>
        <w:rPr>
          <w:color w:val="0F0F0F"/>
          <w:spacing w:val="-8"/>
          <w:w w:val="105"/>
        </w:rPr>
        <w:t xml:space="preserve"> </w:t>
      </w:r>
      <w:r>
        <w:rPr>
          <w:color w:val="0F0F0F"/>
          <w:w w:val="105"/>
        </w:rPr>
        <w:t>CTIF confirme les</w:t>
      </w:r>
      <w:r>
        <w:rPr>
          <w:color w:val="0F0F0F"/>
          <w:spacing w:val="-4"/>
          <w:w w:val="105"/>
        </w:rPr>
        <w:t xml:space="preserve"> </w:t>
      </w:r>
      <w:r>
        <w:rPr>
          <w:color w:val="0F0F0F"/>
          <w:w w:val="105"/>
        </w:rPr>
        <w:t>vulnérabilités</w:t>
      </w:r>
      <w:r>
        <w:rPr>
          <w:color w:val="0F0F0F"/>
          <w:spacing w:val="-10"/>
          <w:w w:val="105"/>
        </w:rPr>
        <w:t xml:space="preserve"> </w:t>
      </w:r>
      <w:r>
        <w:rPr>
          <w:color w:val="0F0F0F"/>
          <w:w w:val="105"/>
        </w:rPr>
        <w:t>du</w:t>
      </w:r>
      <w:r>
        <w:rPr>
          <w:color w:val="0F0F0F"/>
          <w:spacing w:val="-4"/>
          <w:w w:val="105"/>
        </w:rPr>
        <w:t xml:space="preserve"> </w:t>
      </w:r>
      <w:r>
        <w:rPr>
          <w:color w:val="0F0F0F"/>
          <w:w w:val="105"/>
        </w:rPr>
        <w:t>secteur, ce</w:t>
      </w:r>
      <w:r>
        <w:rPr>
          <w:color w:val="0F0F0F"/>
          <w:spacing w:val="-6"/>
          <w:w w:val="105"/>
        </w:rPr>
        <w:t xml:space="preserve"> </w:t>
      </w:r>
      <w:r>
        <w:rPr>
          <w:color w:val="0F0F0F"/>
          <w:w w:val="105"/>
        </w:rPr>
        <w:t>dernier étant utilisé</w:t>
      </w:r>
      <w:r>
        <w:rPr>
          <w:color w:val="0F0F0F"/>
          <w:spacing w:val="-2"/>
          <w:w w:val="105"/>
        </w:rPr>
        <w:t xml:space="preserve"> </w:t>
      </w:r>
      <w:r>
        <w:rPr>
          <w:color w:val="0F0F0F"/>
          <w:w w:val="105"/>
        </w:rPr>
        <w:t>comme couverture</w:t>
      </w:r>
      <w:r>
        <w:rPr>
          <w:color w:val="0F0F0F"/>
          <w:spacing w:val="-13"/>
          <w:w w:val="105"/>
        </w:rPr>
        <w:t xml:space="preserve"> </w:t>
      </w:r>
      <w:r>
        <w:rPr>
          <w:rFonts w:ascii="Arial" w:hAnsi="Arial"/>
          <w:color w:val="0F0F0F"/>
          <w:w w:val="105"/>
          <w:sz w:val="20"/>
        </w:rPr>
        <w:t>à</w:t>
      </w:r>
      <w:r>
        <w:rPr>
          <w:rFonts w:ascii="Arial" w:hAnsi="Arial"/>
          <w:color w:val="0F0F0F"/>
          <w:spacing w:val="-15"/>
          <w:w w:val="105"/>
          <w:sz w:val="20"/>
        </w:rPr>
        <w:t xml:space="preserve"> </w:t>
      </w:r>
      <w:r>
        <w:rPr>
          <w:color w:val="0F0F0F"/>
          <w:w w:val="105"/>
        </w:rPr>
        <w:t>des</w:t>
      </w:r>
      <w:r>
        <w:rPr>
          <w:color w:val="0F0F0F"/>
          <w:spacing w:val="-12"/>
          <w:w w:val="105"/>
        </w:rPr>
        <w:t xml:space="preserve"> </w:t>
      </w:r>
      <w:r>
        <w:rPr>
          <w:color w:val="0F0F0F"/>
          <w:w w:val="105"/>
        </w:rPr>
        <w:t>activités</w:t>
      </w:r>
      <w:r>
        <w:rPr>
          <w:color w:val="0F0F0F"/>
          <w:spacing w:val="-7"/>
          <w:w w:val="105"/>
        </w:rPr>
        <w:t xml:space="preserve"> </w:t>
      </w:r>
      <w:r>
        <w:rPr>
          <w:color w:val="0F0F0F"/>
          <w:w w:val="105"/>
        </w:rPr>
        <w:t>illicites</w:t>
      </w:r>
      <w:r>
        <w:rPr>
          <w:color w:val="0F0F0F"/>
          <w:spacing w:val="-2"/>
          <w:w w:val="105"/>
        </w:rPr>
        <w:t xml:space="preserve"> </w:t>
      </w:r>
      <w:r>
        <w:rPr>
          <w:color w:val="0F0F0F"/>
          <w:w w:val="105"/>
        </w:rPr>
        <w:t>notamment</w:t>
      </w:r>
      <w:r>
        <w:rPr>
          <w:color w:val="0F0F0F"/>
          <w:spacing w:val="-5"/>
          <w:w w:val="105"/>
        </w:rPr>
        <w:t xml:space="preserve"> </w:t>
      </w:r>
      <w:r>
        <w:rPr>
          <w:color w:val="0F0F0F"/>
          <w:w w:val="105"/>
        </w:rPr>
        <w:t>en</w:t>
      </w:r>
      <w:r>
        <w:rPr>
          <w:color w:val="0F0F0F"/>
          <w:spacing w:val="-13"/>
          <w:w w:val="105"/>
        </w:rPr>
        <w:t xml:space="preserve"> </w:t>
      </w:r>
      <w:r>
        <w:rPr>
          <w:color w:val="0F0F0F"/>
          <w:w w:val="105"/>
        </w:rPr>
        <w:t>lien</w:t>
      </w:r>
      <w:r>
        <w:rPr>
          <w:color w:val="0F0F0F"/>
          <w:spacing w:val="-8"/>
          <w:w w:val="105"/>
        </w:rPr>
        <w:t xml:space="preserve"> </w:t>
      </w:r>
      <w:r>
        <w:rPr>
          <w:color w:val="0F0F0F"/>
          <w:w w:val="105"/>
        </w:rPr>
        <w:t>avec</w:t>
      </w:r>
      <w:r>
        <w:rPr>
          <w:color w:val="0F0F0F"/>
          <w:spacing w:val="-11"/>
          <w:w w:val="105"/>
        </w:rPr>
        <w:t xml:space="preserve"> </w:t>
      </w:r>
      <w:r>
        <w:rPr>
          <w:color w:val="0F0F0F"/>
          <w:w w:val="105"/>
        </w:rPr>
        <w:t>le</w:t>
      </w:r>
      <w:r>
        <w:rPr>
          <w:color w:val="0F0F0F"/>
          <w:spacing w:val="-15"/>
          <w:w w:val="105"/>
        </w:rPr>
        <w:t xml:space="preserve"> </w:t>
      </w:r>
      <w:r>
        <w:rPr>
          <w:color w:val="0F0F0F"/>
          <w:w w:val="105"/>
        </w:rPr>
        <w:t>trafic</w:t>
      </w:r>
      <w:r>
        <w:rPr>
          <w:color w:val="0F0F0F"/>
          <w:spacing w:val="-11"/>
          <w:w w:val="105"/>
        </w:rPr>
        <w:t xml:space="preserve"> </w:t>
      </w:r>
      <w:r>
        <w:rPr>
          <w:color w:val="0F0F0F"/>
          <w:w w:val="105"/>
        </w:rPr>
        <w:t>de</w:t>
      </w:r>
      <w:r>
        <w:rPr>
          <w:color w:val="0F0F0F"/>
          <w:spacing w:val="-13"/>
          <w:w w:val="105"/>
        </w:rPr>
        <w:t xml:space="preserve"> </w:t>
      </w:r>
      <w:r>
        <w:rPr>
          <w:color w:val="0F0F0F"/>
          <w:w w:val="105"/>
        </w:rPr>
        <w:t>stupéfiants, l'exploitation de la prostitution ou le trafic d'êtres humains.</w:t>
      </w:r>
    </w:p>
    <w:p w14:paraId="617E6194" w14:textId="77777777" w:rsidR="000D7969" w:rsidRPr="000D7969" w:rsidRDefault="000D7969" w:rsidP="00C165B3">
      <w:pPr>
        <w:pStyle w:val="Paragraphedeliste"/>
        <w:ind w:left="1151"/>
        <w:jc w:val="both"/>
        <w:rPr>
          <w:sz w:val="24"/>
          <w:szCs w:val="24"/>
          <w:lang w:val="fr-FR"/>
        </w:rPr>
      </w:pPr>
    </w:p>
    <w:sectPr w:rsidR="000D7969" w:rsidRPr="000D7969"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B2EF" w14:textId="77777777" w:rsidR="00991033" w:rsidRDefault="00991033" w:rsidP="005C0D9E">
      <w:pPr>
        <w:spacing w:after="0" w:line="240" w:lineRule="auto"/>
      </w:pPr>
      <w:r>
        <w:separator/>
      </w:r>
    </w:p>
  </w:endnote>
  <w:endnote w:type="continuationSeparator" w:id="0">
    <w:p w14:paraId="3EC2AD2D" w14:textId="77777777" w:rsidR="00991033" w:rsidRDefault="00991033"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63B" w14:textId="77777777" w:rsidR="000D7969" w:rsidRDefault="00E60235">
    <w:pPr>
      <w:pStyle w:val="Corpsdetexte"/>
      <w:spacing w:line="14" w:lineRule="auto"/>
      <w:rPr>
        <w:sz w:val="20"/>
      </w:rPr>
    </w:pPr>
    <w:r>
      <w:pict w14:anchorId="52F7F795">
        <v:shapetype id="_x0000_t202" coordsize="21600,21600" o:spt="202" path="m,l,21600r21600,l21600,xe">
          <v:stroke joinstyle="miter"/>
          <v:path gradientshapeok="t" o:connecttype="rect"/>
        </v:shapetype>
        <v:shape id="docshape1" o:spid="_x0000_s1025" type="#_x0000_t202" style="position:absolute;margin-left:514.65pt;margin-top:735.45pt;width:17.3pt;height:12.55pt;z-index:-251658752;mso-position-horizontal-relative:page;mso-position-vertical-relative:page" filled="f" stroked="f">
          <v:textbox inset="0,0,0,0">
            <w:txbxContent>
              <w:p w14:paraId="0DE1FA5B" w14:textId="77777777" w:rsidR="000D7969" w:rsidRDefault="000D7969">
                <w:pPr>
                  <w:spacing w:before="12"/>
                  <w:ind w:left="60"/>
                  <w:rPr>
                    <w:sz w:val="19"/>
                  </w:rPr>
                </w:pPr>
                <w:r>
                  <w:rPr>
                    <w:color w:val="0F0F0F"/>
                    <w:spacing w:val="-5"/>
                    <w:w w:val="110"/>
                    <w:sz w:val="19"/>
                  </w:rPr>
                  <w:fldChar w:fldCharType="begin"/>
                </w:r>
                <w:r>
                  <w:rPr>
                    <w:color w:val="0F0F0F"/>
                    <w:spacing w:val="-5"/>
                    <w:w w:val="110"/>
                    <w:sz w:val="19"/>
                  </w:rPr>
                  <w:instrText xml:space="preserve"> PAGE </w:instrText>
                </w:r>
                <w:r>
                  <w:rPr>
                    <w:color w:val="0F0F0F"/>
                    <w:spacing w:val="-5"/>
                    <w:w w:val="110"/>
                    <w:sz w:val="19"/>
                  </w:rPr>
                  <w:fldChar w:fldCharType="separate"/>
                </w:r>
                <w:r>
                  <w:rPr>
                    <w:color w:val="0F0F0F"/>
                    <w:spacing w:val="-5"/>
                    <w:w w:val="110"/>
                    <w:sz w:val="19"/>
                  </w:rPr>
                  <w:t>35</w:t>
                </w:r>
                <w:r>
                  <w:rPr>
                    <w:color w:val="0F0F0F"/>
                    <w:spacing w:val="-5"/>
                    <w:w w:val="110"/>
                    <w:sz w:val="1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45ED" w14:textId="77777777" w:rsidR="00991033" w:rsidRDefault="00991033" w:rsidP="005C0D9E">
      <w:pPr>
        <w:spacing w:after="0" w:line="240" w:lineRule="auto"/>
      </w:pPr>
      <w:r>
        <w:separator/>
      </w:r>
    </w:p>
  </w:footnote>
  <w:footnote w:type="continuationSeparator" w:id="0">
    <w:p w14:paraId="1F015F74" w14:textId="77777777" w:rsidR="00991033" w:rsidRDefault="00991033" w:rsidP="005C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EA0F31"/>
    <w:multiLevelType w:val="hybridMultilevel"/>
    <w:tmpl w:val="FFC604E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18"/>
  </w:num>
  <w:num w:numId="2" w16cid:durableId="1495074996">
    <w:abstractNumId w:val="14"/>
  </w:num>
  <w:num w:numId="3" w16cid:durableId="381291445">
    <w:abstractNumId w:val="13"/>
  </w:num>
  <w:num w:numId="4" w16cid:durableId="1843428260">
    <w:abstractNumId w:val="4"/>
  </w:num>
  <w:num w:numId="5" w16cid:durableId="1655335937">
    <w:abstractNumId w:val="12"/>
  </w:num>
  <w:num w:numId="6" w16cid:durableId="198475671">
    <w:abstractNumId w:val="8"/>
  </w:num>
  <w:num w:numId="7" w16cid:durableId="611134263">
    <w:abstractNumId w:val="2"/>
  </w:num>
  <w:num w:numId="8" w16cid:durableId="632636094">
    <w:abstractNumId w:val="10"/>
  </w:num>
  <w:num w:numId="9" w16cid:durableId="1153907962">
    <w:abstractNumId w:val="0"/>
  </w:num>
  <w:num w:numId="10" w16cid:durableId="1269389438">
    <w:abstractNumId w:val="6"/>
  </w:num>
  <w:num w:numId="11" w16cid:durableId="1074813988">
    <w:abstractNumId w:val="3"/>
  </w:num>
  <w:num w:numId="12" w16cid:durableId="491027007">
    <w:abstractNumId w:val="5"/>
  </w:num>
  <w:num w:numId="13" w16cid:durableId="135876604">
    <w:abstractNumId w:val="11"/>
  </w:num>
  <w:num w:numId="14" w16cid:durableId="764348663">
    <w:abstractNumId w:val="7"/>
  </w:num>
  <w:num w:numId="15" w16cid:durableId="838734017">
    <w:abstractNumId w:val="1"/>
  </w:num>
  <w:num w:numId="16" w16cid:durableId="63839980">
    <w:abstractNumId w:val="17"/>
  </w:num>
  <w:num w:numId="17" w16cid:durableId="192156088">
    <w:abstractNumId w:val="16"/>
  </w:num>
  <w:num w:numId="18" w16cid:durableId="1497577348">
    <w:abstractNumId w:val="19"/>
  </w:num>
  <w:num w:numId="19" w16cid:durableId="1841654329">
    <w:abstractNumId w:val="15"/>
  </w:num>
  <w:num w:numId="20" w16cid:durableId="694044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323DC"/>
    <w:rsid w:val="000B03AF"/>
    <w:rsid w:val="000D7969"/>
    <w:rsid w:val="000D7D38"/>
    <w:rsid w:val="00103098"/>
    <w:rsid w:val="001B60E6"/>
    <w:rsid w:val="001C72F5"/>
    <w:rsid w:val="002441EA"/>
    <w:rsid w:val="0025474D"/>
    <w:rsid w:val="002B6E9D"/>
    <w:rsid w:val="002C692F"/>
    <w:rsid w:val="002D05F2"/>
    <w:rsid w:val="00374C0F"/>
    <w:rsid w:val="003D58D0"/>
    <w:rsid w:val="003D648D"/>
    <w:rsid w:val="00405161"/>
    <w:rsid w:val="00413D6F"/>
    <w:rsid w:val="004B4A10"/>
    <w:rsid w:val="004D39E7"/>
    <w:rsid w:val="004E5650"/>
    <w:rsid w:val="00553816"/>
    <w:rsid w:val="0056005B"/>
    <w:rsid w:val="00575B90"/>
    <w:rsid w:val="005C0D9E"/>
    <w:rsid w:val="0061072C"/>
    <w:rsid w:val="006E5A58"/>
    <w:rsid w:val="0070248D"/>
    <w:rsid w:val="00712873"/>
    <w:rsid w:val="00722FE8"/>
    <w:rsid w:val="00796377"/>
    <w:rsid w:val="007F3F27"/>
    <w:rsid w:val="008232B3"/>
    <w:rsid w:val="00853F81"/>
    <w:rsid w:val="008B43E2"/>
    <w:rsid w:val="00936738"/>
    <w:rsid w:val="0094004A"/>
    <w:rsid w:val="00987EF5"/>
    <w:rsid w:val="00991033"/>
    <w:rsid w:val="009E0D0D"/>
    <w:rsid w:val="00AE582E"/>
    <w:rsid w:val="00AE7B54"/>
    <w:rsid w:val="00B40FAF"/>
    <w:rsid w:val="00B46AF4"/>
    <w:rsid w:val="00C165B3"/>
    <w:rsid w:val="00C341C0"/>
    <w:rsid w:val="00C4092E"/>
    <w:rsid w:val="00C512B4"/>
    <w:rsid w:val="00C63BA3"/>
    <w:rsid w:val="00C71B74"/>
    <w:rsid w:val="00C9070A"/>
    <w:rsid w:val="00CB3977"/>
    <w:rsid w:val="00CB601B"/>
    <w:rsid w:val="00D31BC5"/>
    <w:rsid w:val="00D32E68"/>
    <w:rsid w:val="00D53C2D"/>
    <w:rsid w:val="00D66117"/>
    <w:rsid w:val="00D963C7"/>
    <w:rsid w:val="00DF5E99"/>
    <w:rsid w:val="00E46A15"/>
    <w:rsid w:val="00E60235"/>
    <w:rsid w:val="00F23776"/>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paragraph" w:styleId="Rvision">
    <w:name w:val="Revision"/>
    <w:hidden/>
    <w:uiPriority w:val="99"/>
    <w:semiHidden/>
    <w:rsid w:val="00D53C2D"/>
    <w:pPr>
      <w:spacing w:after="0" w:line="240" w:lineRule="auto"/>
    </w:pPr>
    <w:rPr>
      <w:lang w:val="fr-BE"/>
    </w:rPr>
  </w:style>
  <w:style w:type="character" w:styleId="Marquedecommentaire">
    <w:name w:val="annotation reference"/>
    <w:basedOn w:val="Policepardfaut"/>
    <w:uiPriority w:val="99"/>
    <w:semiHidden/>
    <w:unhideWhenUsed/>
    <w:rsid w:val="00D53C2D"/>
    <w:rPr>
      <w:sz w:val="16"/>
      <w:szCs w:val="16"/>
    </w:rPr>
  </w:style>
  <w:style w:type="paragraph" w:styleId="Commentaire">
    <w:name w:val="annotation text"/>
    <w:basedOn w:val="Normal"/>
    <w:link w:val="CommentaireCar"/>
    <w:uiPriority w:val="99"/>
    <w:unhideWhenUsed/>
    <w:rsid w:val="00D53C2D"/>
    <w:pPr>
      <w:spacing w:line="240" w:lineRule="auto"/>
    </w:pPr>
    <w:rPr>
      <w:sz w:val="20"/>
      <w:szCs w:val="20"/>
    </w:rPr>
  </w:style>
  <w:style w:type="character" w:customStyle="1" w:styleId="CommentaireCar">
    <w:name w:val="Commentaire Car"/>
    <w:basedOn w:val="Policepardfaut"/>
    <w:link w:val="Commentaire"/>
    <w:uiPriority w:val="99"/>
    <w:rsid w:val="00D53C2D"/>
    <w:rPr>
      <w:sz w:val="20"/>
      <w:szCs w:val="20"/>
      <w:lang w:val="fr-BE"/>
    </w:rPr>
  </w:style>
  <w:style w:type="paragraph" w:styleId="Objetducommentaire">
    <w:name w:val="annotation subject"/>
    <w:basedOn w:val="Commentaire"/>
    <w:next w:val="Commentaire"/>
    <w:link w:val="ObjetducommentaireCar"/>
    <w:uiPriority w:val="99"/>
    <w:semiHidden/>
    <w:unhideWhenUsed/>
    <w:rsid w:val="00D53C2D"/>
    <w:rPr>
      <w:b/>
      <w:bCs/>
    </w:rPr>
  </w:style>
  <w:style w:type="character" w:customStyle="1" w:styleId="ObjetducommentaireCar">
    <w:name w:val="Objet du commentaire Car"/>
    <w:basedOn w:val="CommentaireCar"/>
    <w:link w:val="Objetducommentaire"/>
    <w:uiPriority w:val="99"/>
    <w:semiHidden/>
    <w:rsid w:val="00D53C2D"/>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B515-8D65-405C-9004-108D3F699178}"/>
</file>

<file path=customXml/itemProps2.xml><?xml version="1.0" encoding="utf-8"?>
<ds:datastoreItem xmlns:ds="http://schemas.openxmlformats.org/officeDocument/2006/customXml" ds:itemID="{20BED95B-9656-416E-B823-ED7297ED4C87}">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325743CD-C629-4E54-9DC6-5AC7A791EAD0}">
  <ds:schemaRefs>
    <ds:schemaRef ds:uri="http://schemas.microsoft.com/sharepoint/v3/contenttype/forms"/>
  </ds:schemaRefs>
</ds:datastoreItem>
</file>

<file path=customXml/itemProps4.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16</cp:revision>
  <dcterms:created xsi:type="dcterms:W3CDTF">2023-02-22T15:55:00Z</dcterms:created>
  <dcterms:modified xsi:type="dcterms:W3CDTF">2023-08-02T07:41:00Z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