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60E2D79E" w:rsidR="003D648D" w:rsidRPr="00712873" w:rsidRDefault="005C0D9E" w:rsidP="009B3510">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rPr>
      </w:pPr>
      <w:r w:rsidRPr="00712873">
        <w:rPr>
          <w:sz w:val="32"/>
          <w:szCs w:val="32"/>
        </w:rPr>
        <w:t xml:space="preserve">Typologie des risques AML – </w:t>
      </w:r>
      <w:r w:rsidR="009A378B">
        <w:rPr>
          <w:sz w:val="32"/>
          <w:szCs w:val="32"/>
        </w:rPr>
        <w:t>Or et métaux précieux</w:t>
      </w:r>
      <w:r w:rsidR="0001298E">
        <w:rPr>
          <w:rStyle w:val="Appelnotedebasdep"/>
          <w:sz w:val="32"/>
          <w:szCs w:val="32"/>
        </w:rPr>
        <w:footnoteReference w:id="1"/>
      </w:r>
      <w:r w:rsidRPr="00712873">
        <w:rPr>
          <w:sz w:val="32"/>
          <w:szCs w:val="32"/>
        </w:rPr>
        <w:t> :</w:t>
      </w:r>
    </w:p>
    <w:p w14:paraId="518483F6" w14:textId="4C92028C" w:rsidR="00712873" w:rsidRDefault="00712873" w:rsidP="009B3510">
      <w:pPr>
        <w:contextualSpacing/>
        <w:jc w:val="both"/>
      </w:pPr>
    </w:p>
    <w:p w14:paraId="18789D9D" w14:textId="65CF5CD5" w:rsidR="009A378B" w:rsidRDefault="009A378B" w:rsidP="00C22B8D">
      <w:pPr>
        <w:spacing w:after="120"/>
        <w:ind w:left="708"/>
        <w:jc w:val="both"/>
      </w:pPr>
      <w:r>
        <w:t>Les valeurs affichées sur les marchés internationaux par certains métaux précieux comme l’or, le cuivre, le zinc en</w:t>
      </w:r>
      <w:r w:rsidR="00987FC2">
        <w:t xml:space="preserve"> </w:t>
      </w:r>
      <w:r>
        <w:t>fon</w:t>
      </w:r>
      <w:r w:rsidR="00987FC2">
        <w:t>t</w:t>
      </w:r>
      <w:r>
        <w:t xml:space="preserve"> aujourd’hui des valeurs commerciales </w:t>
      </w:r>
      <w:r w:rsidR="00DE66D2">
        <w:t>intéressantes</w:t>
      </w:r>
      <w:r>
        <w:t xml:space="preserve"> pour les criminels qui peuvent les détou</w:t>
      </w:r>
      <w:r w:rsidR="00DE66D2">
        <w:t>r</w:t>
      </w:r>
      <w:r>
        <w:t>ner à leur profit mais aussi les utiliser comme vecteur dans des op</w:t>
      </w:r>
      <w:r w:rsidR="00DE66D2">
        <w:t>é</w:t>
      </w:r>
      <w:r>
        <w:t>rations de blanchiment de capitaux ou de financement du terrorisme</w:t>
      </w:r>
      <w:r w:rsidR="00DE66D2">
        <w:t>.</w:t>
      </w:r>
    </w:p>
    <w:p w14:paraId="3BFDA658" w14:textId="0155AE0A" w:rsidR="00C13863" w:rsidRDefault="009A378B" w:rsidP="00C22B8D">
      <w:pPr>
        <w:spacing w:before="240" w:after="120"/>
        <w:ind w:left="708"/>
        <w:jc w:val="both"/>
      </w:pPr>
      <w:r>
        <w:t xml:space="preserve">Les négociants en métaux précieux et pierres précieuses (NMPPP) présentent un profil de risque qui leur est propre, en ce qui </w:t>
      </w:r>
      <w:r w:rsidR="00BA7381">
        <w:t xml:space="preserve">concerne le </w:t>
      </w:r>
      <w:r>
        <w:t xml:space="preserve">blanchiment d’argent et </w:t>
      </w:r>
      <w:r w:rsidR="00834C71">
        <w:t>le</w:t>
      </w:r>
      <w:r>
        <w:t xml:space="preserve"> financement des activités terroristes du fait qu’ils négocient des articles de </w:t>
      </w:r>
      <w:r w:rsidR="00987FC2">
        <w:t>nature</w:t>
      </w:r>
      <w:r w:rsidR="00E94F62">
        <w:t xml:space="preserve"> </w:t>
      </w:r>
      <w:r>
        <w:t xml:space="preserve">transférable. </w:t>
      </w:r>
    </w:p>
    <w:p w14:paraId="30601626" w14:textId="2B2B6CE7" w:rsidR="009A378B" w:rsidRDefault="009A378B" w:rsidP="00C22B8D">
      <w:pPr>
        <w:spacing w:before="240" w:after="120"/>
        <w:ind w:left="708"/>
        <w:jc w:val="both"/>
      </w:pPr>
      <w:r>
        <w:t xml:space="preserve">Ce risque est accru, car il pourrait s’agir : </w:t>
      </w:r>
    </w:p>
    <w:p w14:paraId="028A664A" w14:textId="01917E4E" w:rsidR="009A378B" w:rsidRDefault="009A378B" w:rsidP="00C22B8D">
      <w:pPr>
        <w:spacing w:after="120" w:line="240" w:lineRule="auto"/>
        <w:ind w:left="1416"/>
        <w:jc w:val="both"/>
      </w:pPr>
      <w:r>
        <w:sym w:font="Symbol" w:char="F0B7"/>
      </w:r>
      <w:r>
        <w:t xml:space="preserve"> </w:t>
      </w:r>
      <w:r w:rsidR="003A34AB">
        <w:t>d</w:t>
      </w:r>
      <w:r w:rsidR="00DE66D2">
        <w:t>e</w:t>
      </w:r>
      <w:r>
        <w:t xml:space="preserve"> produits</w:t>
      </w:r>
      <w:r w:rsidR="00987FC2">
        <w:t xml:space="preserve"> issus</w:t>
      </w:r>
      <w:r>
        <w:t xml:space="preserve"> de la </w:t>
      </w:r>
      <w:r w:rsidR="00DE66D2">
        <w:t>criminalité ;</w:t>
      </w:r>
      <w:r>
        <w:t xml:space="preserve"> </w:t>
      </w:r>
    </w:p>
    <w:p w14:paraId="3E3AAF8C" w14:textId="36723F77" w:rsidR="009A378B" w:rsidRDefault="009A378B" w:rsidP="00C22B8D">
      <w:pPr>
        <w:spacing w:after="120" w:line="240" w:lineRule="auto"/>
        <w:ind w:left="1416"/>
        <w:jc w:val="both"/>
      </w:pPr>
      <w:r>
        <w:sym w:font="Symbol" w:char="F0B7"/>
      </w:r>
      <w:r>
        <w:t xml:space="preserve"> </w:t>
      </w:r>
      <w:r w:rsidR="003A34AB">
        <w:t>d</w:t>
      </w:r>
      <w:r w:rsidR="00DE66D2">
        <w:t>’articles</w:t>
      </w:r>
      <w:r>
        <w:t xml:space="preserve"> achetés au moyen des produits </w:t>
      </w:r>
      <w:r w:rsidR="00987FC2">
        <w:t xml:space="preserve">issus </w:t>
      </w:r>
      <w:r>
        <w:t>de la criminalité</w:t>
      </w:r>
      <w:r w:rsidR="00DE66D2">
        <w:t xml:space="preserve"> </w:t>
      </w:r>
      <w:r>
        <w:t xml:space="preserve">; </w:t>
      </w:r>
    </w:p>
    <w:p w14:paraId="0480BE01" w14:textId="19E48B0E" w:rsidR="009A378B" w:rsidRDefault="009A378B" w:rsidP="00C22B8D">
      <w:pPr>
        <w:spacing w:after="120" w:line="240" w:lineRule="auto"/>
        <w:ind w:left="1416"/>
        <w:jc w:val="both"/>
      </w:pPr>
      <w:r>
        <w:sym w:font="Symbol" w:char="F0B7"/>
      </w:r>
      <w:r>
        <w:t xml:space="preserve"> </w:t>
      </w:r>
      <w:r w:rsidR="003A34AB">
        <w:t>d</w:t>
      </w:r>
      <w:r w:rsidR="00DE66D2">
        <w:t>’articles</w:t>
      </w:r>
      <w:r>
        <w:t xml:space="preserve"> utilisés pour recycler des produits </w:t>
      </w:r>
      <w:r w:rsidR="00987FC2">
        <w:t xml:space="preserve">issus </w:t>
      </w:r>
      <w:r>
        <w:t xml:space="preserve">de la criminalité. </w:t>
      </w:r>
    </w:p>
    <w:p w14:paraId="17554EDC" w14:textId="2197278B" w:rsidR="009707A0" w:rsidRPr="00393379" w:rsidRDefault="00DE66D2" w:rsidP="009707A0">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r w:rsidRPr="00393379">
        <w:rPr>
          <w:color w:val="4472C4" w:themeColor="accent1"/>
          <w:sz w:val="28"/>
          <w:szCs w:val="28"/>
          <w:u w:val="single" w:color="4472C4" w:themeColor="accent1"/>
        </w:rPr>
        <w:t>Comportement du client :</w:t>
      </w:r>
    </w:p>
    <w:p w14:paraId="55FCAAA0" w14:textId="7C43BF37" w:rsidR="00DE66D2" w:rsidRDefault="00DE66D2" w:rsidP="00C22B8D">
      <w:pPr>
        <w:pStyle w:val="Paragraphedeliste"/>
        <w:numPr>
          <w:ilvl w:val="0"/>
          <w:numId w:val="19"/>
        </w:numPr>
        <w:spacing w:before="120" w:after="120"/>
        <w:ind w:left="1435"/>
        <w:contextualSpacing w:val="0"/>
        <w:jc w:val="both"/>
      </w:pPr>
      <w:r>
        <w:t xml:space="preserve">Un client (y compris les marchands de lingots) augmente considérablement ses achats de lingots d'or sans raison apparente. </w:t>
      </w:r>
    </w:p>
    <w:p w14:paraId="54AAB52A" w14:textId="635865D9" w:rsidR="00DE66D2" w:rsidRDefault="00DE66D2" w:rsidP="00C22B8D">
      <w:pPr>
        <w:pStyle w:val="Paragraphedeliste"/>
        <w:numPr>
          <w:ilvl w:val="0"/>
          <w:numId w:val="19"/>
        </w:numPr>
        <w:spacing w:before="120" w:after="120"/>
        <w:ind w:left="1435"/>
        <w:contextualSpacing w:val="0"/>
        <w:jc w:val="both"/>
      </w:pPr>
      <w:r>
        <w:t xml:space="preserve">Les ressortissants étrangers qui achètent des lingots d'or par le biais de transactions multiples sur une courte période. </w:t>
      </w:r>
    </w:p>
    <w:p w14:paraId="575CA589" w14:textId="583FC09B" w:rsidR="00DE66D2" w:rsidRDefault="00DE66D2" w:rsidP="00C22B8D">
      <w:pPr>
        <w:pStyle w:val="Paragraphedeliste"/>
        <w:numPr>
          <w:ilvl w:val="0"/>
          <w:numId w:val="19"/>
        </w:numPr>
        <w:spacing w:before="120" w:after="120"/>
        <w:ind w:left="1435" w:hanging="357"/>
        <w:contextualSpacing w:val="0"/>
        <w:jc w:val="both"/>
      </w:pPr>
      <w:r>
        <w:t xml:space="preserve">Transfert de lingots entre associés utilisant des comptes de lingots (y compris les membres de la famille) sans but commercial apparent. </w:t>
      </w:r>
    </w:p>
    <w:p w14:paraId="6A797C76" w14:textId="1AD4C638" w:rsidR="00DE66D2" w:rsidRDefault="00DE66D2" w:rsidP="00C22B8D">
      <w:pPr>
        <w:pStyle w:val="Paragraphedeliste"/>
        <w:numPr>
          <w:ilvl w:val="0"/>
          <w:numId w:val="19"/>
        </w:numPr>
        <w:spacing w:before="120" w:after="120"/>
        <w:ind w:left="1435"/>
        <w:contextualSpacing w:val="0"/>
        <w:jc w:val="both"/>
      </w:pPr>
      <w:r>
        <w:t xml:space="preserve">Un schéma inhabituel de transactions de lingots et la nature des transactions ne correspondent pas au profil du client. </w:t>
      </w:r>
    </w:p>
    <w:p w14:paraId="4C942775" w14:textId="3B63EF38" w:rsidR="00DE66D2" w:rsidRPr="00C22B8D" w:rsidRDefault="00DE66D2" w:rsidP="00C22B8D">
      <w:pPr>
        <w:pStyle w:val="Paragraphedeliste"/>
        <w:numPr>
          <w:ilvl w:val="0"/>
          <w:numId w:val="19"/>
        </w:numPr>
        <w:spacing w:before="120" w:after="120"/>
        <w:contextualSpacing w:val="0"/>
        <w:jc w:val="both"/>
        <w:rPr>
          <w:sz w:val="24"/>
          <w:szCs w:val="24"/>
        </w:rPr>
      </w:pPr>
      <w:r>
        <w:t>Un client inconnu qui demande un affineur pour transformer l'or en lingots.</w:t>
      </w:r>
    </w:p>
    <w:p w14:paraId="408B98E4" w14:textId="1AA26CFA" w:rsidR="009707A0" w:rsidRPr="00393379" w:rsidRDefault="00DE66D2" w:rsidP="009707A0">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r w:rsidRPr="00393379">
        <w:rPr>
          <w:color w:val="4472C4" w:themeColor="accent1"/>
          <w:sz w:val="28"/>
          <w:szCs w:val="28"/>
          <w:u w:val="single" w:color="4472C4" w:themeColor="accent1"/>
        </w:rPr>
        <w:t xml:space="preserve">Comportement des entreprises </w:t>
      </w:r>
      <w:r w:rsidR="00C512B4" w:rsidRPr="00393379">
        <w:rPr>
          <w:color w:val="4472C4" w:themeColor="accent1"/>
          <w:sz w:val="28"/>
          <w:szCs w:val="28"/>
          <w:u w:val="single" w:color="4472C4" w:themeColor="accent1"/>
        </w:rPr>
        <w:t>:</w:t>
      </w:r>
    </w:p>
    <w:p w14:paraId="5D7FE901" w14:textId="7637FEBB" w:rsidR="00157DF0" w:rsidRDefault="00DE66D2" w:rsidP="00C22B8D">
      <w:pPr>
        <w:pStyle w:val="Paragraphedeliste"/>
        <w:numPr>
          <w:ilvl w:val="0"/>
          <w:numId w:val="19"/>
        </w:numPr>
        <w:spacing w:before="120" w:after="120"/>
        <w:ind w:left="1429" w:hanging="357"/>
        <w:contextualSpacing w:val="0"/>
        <w:jc w:val="both"/>
      </w:pPr>
      <w:r>
        <w:t>Non-déclaration à la CRF</w:t>
      </w:r>
      <w:r w:rsidR="00E94F62">
        <w:rPr>
          <w:rStyle w:val="Appelnotedebasdep"/>
        </w:rPr>
        <w:footnoteReference w:id="2"/>
      </w:r>
      <w:r>
        <w:t xml:space="preserve"> par les organisations de l'industrie aurifère (lorsqu'il existe une obligation de déclaration). </w:t>
      </w:r>
    </w:p>
    <w:p w14:paraId="3DC15755" w14:textId="77777777" w:rsidR="00157DF0" w:rsidRDefault="00DE66D2" w:rsidP="00C22B8D">
      <w:pPr>
        <w:pStyle w:val="Paragraphedeliste"/>
        <w:numPr>
          <w:ilvl w:val="0"/>
          <w:numId w:val="19"/>
        </w:numPr>
        <w:spacing w:before="120" w:after="120"/>
        <w:ind w:left="1429" w:hanging="357"/>
        <w:contextualSpacing w:val="0"/>
        <w:jc w:val="both"/>
      </w:pPr>
      <w:r>
        <w:t xml:space="preserve">Modification du nom commercial des entités enregistrées pour le commerce de l'or. </w:t>
      </w:r>
    </w:p>
    <w:p w14:paraId="67C7FEAE" w14:textId="77777777" w:rsidR="00157DF0" w:rsidRDefault="00DE66D2" w:rsidP="00C22B8D">
      <w:pPr>
        <w:pStyle w:val="Paragraphedeliste"/>
        <w:numPr>
          <w:ilvl w:val="0"/>
          <w:numId w:val="19"/>
        </w:numPr>
        <w:spacing w:before="120" w:after="120"/>
        <w:ind w:left="1429" w:hanging="357"/>
        <w:contextualSpacing w:val="0"/>
        <w:jc w:val="both"/>
      </w:pPr>
      <w:r>
        <w:t xml:space="preserve">Enregistrement d'une société commerciale dans un paradis fiscal alors que son activité concerne une autre juridiction. </w:t>
      </w:r>
    </w:p>
    <w:p w14:paraId="453AF299" w14:textId="159E5165" w:rsidR="00157DF0" w:rsidRDefault="00DE66D2" w:rsidP="00C22B8D">
      <w:pPr>
        <w:pStyle w:val="Paragraphedeliste"/>
        <w:numPr>
          <w:ilvl w:val="0"/>
          <w:numId w:val="19"/>
        </w:numPr>
        <w:spacing w:before="120" w:after="120"/>
        <w:ind w:left="1429" w:hanging="357"/>
        <w:contextualSpacing w:val="0"/>
        <w:jc w:val="both"/>
      </w:pPr>
      <w:r>
        <w:t xml:space="preserve">Mouvement de sommes d'argent anormalement élevées sur divers comptes des particuliers et des entreprises qui ne sont pas liés à la nature de leurs activités. </w:t>
      </w:r>
    </w:p>
    <w:p w14:paraId="18E4141F" w14:textId="22A19639" w:rsidR="00712873" w:rsidRDefault="00DE66D2" w:rsidP="00C22B8D">
      <w:pPr>
        <w:pStyle w:val="Paragraphedeliste"/>
        <w:numPr>
          <w:ilvl w:val="0"/>
          <w:numId w:val="19"/>
        </w:numPr>
        <w:spacing w:before="120" w:after="120"/>
        <w:ind w:left="1429" w:hanging="357"/>
        <w:contextualSpacing w:val="0"/>
        <w:jc w:val="both"/>
      </w:pPr>
      <w:r>
        <w:t>Les dépôts inhabituels, c'est-à-dire l'utilisation d'espèces ou d'instruments négociables (tels que les chèques de voyage, les chèques de caisse et les mandats) en coupures rondes (pour rester en dessous du seuil de déclaration) pour alimenter les comptes bancaires et payer l'or. Les instruments négociables peuvent être numérotés de manière séquentielle ou achetés en plusieurs endroits et peuvent souvent ne pas comporter d'informations sur le bénéficiaire.</w:t>
      </w:r>
    </w:p>
    <w:p w14:paraId="33CC8903" w14:textId="77777777" w:rsidR="00157DF0" w:rsidRDefault="00157DF0" w:rsidP="00C22B8D">
      <w:pPr>
        <w:pStyle w:val="Paragraphedeliste"/>
        <w:numPr>
          <w:ilvl w:val="0"/>
          <w:numId w:val="19"/>
        </w:numPr>
        <w:spacing w:before="120" w:after="120"/>
        <w:ind w:left="1429" w:hanging="357"/>
        <w:contextualSpacing w:val="0"/>
        <w:jc w:val="both"/>
      </w:pPr>
      <w:r>
        <w:lastRenderedPageBreak/>
        <w:t xml:space="preserve">Nombreuses entreprises individuelles/sociétés à responsabilité limitée créées par des personnes apparemment sans lien entre elles (mandataires) mais contrôlées par le même groupe de personnes. De fausses adresses sont utilisées pour enregistrer ces entreprises. </w:t>
      </w:r>
    </w:p>
    <w:p w14:paraId="62B24BAE" w14:textId="77777777" w:rsidR="00157DF0" w:rsidRDefault="00157DF0" w:rsidP="00C22B8D">
      <w:pPr>
        <w:pStyle w:val="Paragraphedeliste"/>
        <w:numPr>
          <w:ilvl w:val="0"/>
          <w:numId w:val="19"/>
        </w:numPr>
        <w:spacing w:before="120" w:after="120"/>
        <w:ind w:left="1429" w:hanging="357"/>
        <w:contextualSpacing w:val="0"/>
        <w:jc w:val="both"/>
      </w:pPr>
      <w:r>
        <w:t xml:space="preserve">Utilisation d'une structure d'entreprise composée de sociétés fictives situées dans différentes juridictions. </w:t>
      </w:r>
    </w:p>
    <w:p w14:paraId="6E747E90" w14:textId="77777777" w:rsidR="00157DF0" w:rsidRDefault="00157DF0" w:rsidP="00C22B8D">
      <w:pPr>
        <w:pStyle w:val="Paragraphedeliste"/>
        <w:numPr>
          <w:ilvl w:val="0"/>
          <w:numId w:val="19"/>
        </w:numPr>
        <w:spacing w:before="120" w:after="120"/>
        <w:ind w:left="1429" w:hanging="357"/>
        <w:contextualSpacing w:val="0"/>
        <w:jc w:val="both"/>
      </w:pPr>
      <w:r>
        <w:t xml:space="preserve">Un nombre important de sociétés enregistrées pour une seule personne physique. </w:t>
      </w:r>
    </w:p>
    <w:p w14:paraId="58869522" w14:textId="77777777" w:rsidR="00157DF0" w:rsidRDefault="00157DF0" w:rsidP="00C22B8D">
      <w:pPr>
        <w:pStyle w:val="Paragraphedeliste"/>
        <w:numPr>
          <w:ilvl w:val="0"/>
          <w:numId w:val="19"/>
        </w:numPr>
        <w:spacing w:before="120" w:after="120"/>
        <w:ind w:left="1429" w:hanging="357"/>
        <w:contextualSpacing w:val="0"/>
        <w:jc w:val="both"/>
      </w:pPr>
      <w:r>
        <w:t xml:space="preserve">Les activités commerciales ne sont pas faciles à suivre car les sociétés sont enregistrées ailleurs. </w:t>
      </w:r>
    </w:p>
    <w:p w14:paraId="06F2CE48" w14:textId="260C3CE2" w:rsidR="009707A0" w:rsidRDefault="00157DF0" w:rsidP="009707A0">
      <w:pPr>
        <w:pStyle w:val="Paragraphedeliste"/>
        <w:numPr>
          <w:ilvl w:val="0"/>
          <w:numId w:val="19"/>
        </w:numPr>
        <w:spacing w:before="120" w:after="120"/>
        <w:ind w:hanging="357"/>
        <w:contextualSpacing w:val="0"/>
        <w:jc w:val="both"/>
      </w:pPr>
      <w:r>
        <w:t>Aucune clarté sur la manière dont l'entreprise transporte les marchandises qu'elle a achetées.</w:t>
      </w:r>
    </w:p>
    <w:p w14:paraId="1A6320C5" w14:textId="683B9A23" w:rsidR="009707A0" w:rsidRPr="00393379" w:rsidRDefault="00157DF0" w:rsidP="009707A0">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r w:rsidRPr="00393379">
        <w:rPr>
          <w:color w:val="4472C4" w:themeColor="accent1"/>
          <w:sz w:val="28"/>
          <w:szCs w:val="28"/>
          <w:u w:val="single" w:color="4472C4" w:themeColor="accent1"/>
        </w:rPr>
        <w:t>Comportement basé sur le commerce :</w:t>
      </w:r>
    </w:p>
    <w:p w14:paraId="27CC5089" w14:textId="51336C82" w:rsidR="00157DF0" w:rsidRDefault="00157DF0" w:rsidP="00C22B8D">
      <w:pPr>
        <w:pStyle w:val="Paragraphedeliste"/>
        <w:numPr>
          <w:ilvl w:val="0"/>
          <w:numId w:val="19"/>
        </w:numPr>
        <w:spacing w:before="120" w:after="120"/>
        <w:ind w:left="1429" w:hanging="357"/>
        <w:contextualSpacing w:val="0"/>
        <w:jc w:val="both"/>
      </w:pPr>
      <w:r>
        <w:t xml:space="preserve">Erreur de classification de la pureté, du poids, de l'origine et de la valeur de l'or sur les formulaires de déclaration douanière. </w:t>
      </w:r>
    </w:p>
    <w:p w14:paraId="2C94C3EB" w14:textId="0EC46823" w:rsidR="00157DF0" w:rsidRDefault="00157DF0" w:rsidP="00C22B8D">
      <w:pPr>
        <w:pStyle w:val="Paragraphedeliste"/>
        <w:numPr>
          <w:ilvl w:val="0"/>
          <w:numId w:val="19"/>
        </w:numPr>
        <w:spacing w:before="120" w:after="120"/>
        <w:ind w:left="1429" w:hanging="357"/>
        <w:contextualSpacing w:val="0"/>
        <w:jc w:val="both"/>
      </w:pPr>
      <w:r>
        <w:t xml:space="preserve">L'or est expédié vers ou à partir d'une juridiction désignée comme "à haut risque" pour les activités de blanchiment d'argent ou de juridictions sensibles / non coopératives. </w:t>
      </w:r>
    </w:p>
    <w:p w14:paraId="6AF88949" w14:textId="49F8ED31" w:rsidR="00157DF0" w:rsidRDefault="00157DF0" w:rsidP="00C22B8D">
      <w:pPr>
        <w:pStyle w:val="Paragraphedeliste"/>
        <w:numPr>
          <w:ilvl w:val="0"/>
          <w:numId w:val="19"/>
        </w:numPr>
        <w:spacing w:before="120" w:after="120"/>
        <w:ind w:left="1429" w:hanging="357"/>
        <w:contextualSpacing w:val="0"/>
        <w:jc w:val="both"/>
      </w:pPr>
      <w:r>
        <w:t xml:space="preserve">L'or est transbordé dans une ou plusieurs de ces juridictions à haut risque ou sensibles sans raison économique apparente. </w:t>
      </w:r>
    </w:p>
    <w:p w14:paraId="2EE64CDC" w14:textId="1D7A3AC8" w:rsidR="00157DF0" w:rsidRDefault="00157DF0" w:rsidP="00C22B8D">
      <w:pPr>
        <w:pStyle w:val="Paragraphedeliste"/>
        <w:numPr>
          <w:ilvl w:val="0"/>
          <w:numId w:val="19"/>
        </w:numPr>
        <w:spacing w:before="120" w:after="120"/>
        <w:ind w:left="1429" w:hanging="357"/>
        <w:contextualSpacing w:val="0"/>
        <w:jc w:val="both"/>
      </w:pPr>
      <w:r>
        <w:t xml:space="preserve">La taille de l'envoi ou le type de marchandise expédiée ne semble pas correspondre à l'échelle ou à la capacité de l'exportateur ou de l'importateur, compte tenu de leurs activités commerciales habituelles, ou l'envoi n'a pas de sens économique, c'est-à-dire qu'il n'y a pas d'explication raisonnable à l'investissement financier du client dans l'envoi. </w:t>
      </w:r>
    </w:p>
    <w:p w14:paraId="1B221BA1" w14:textId="776F7A30" w:rsidR="00157DF0" w:rsidRDefault="00157DF0" w:rsidP="00C22B8D">
      <w:pPr>
        <w:pStyle w:val="Paragraphedeliste"/>
        <w:numPr>
          <w:ilvl w:val="0"/>
          <w:numId w:val="19"/>
        </w:numPr>
        <w:spacing w:before="120" w:after="120"/>
        <w:ind w:left="1429" w:hanging="357"/>
        <w:contextualSpacing w:val="0"/>
        <w:jc w:val="both"/>
      </w:pPr>
      <w:r>
        <w:t>La transaction implique l'utilisation de sociétés écrans ou de sociétés fictives. Les sociétés fictives et les sociétés écrans peuvent toutes deux être utilisées pour faciliter le blanchiment de capitaux, mais de manière différente. Une société écran n'a pas d'activité opérationnelle réelle et est utilisée pour cacher l'activité de blanchiment d'argent et l'identité des personnes impliquées afin d'obscurcir la piste de l'argent. Si l'activité est retracée jusqu'à la société, il s'agit littéralement d'une coquille vide.</w:t>
      </w:r>
    </w:p>
    <w:p w14:paraId="785BDCD9" w14:textId="08CA5F94" w:rsidR="00722FE8" w:rsidRPr="00644083" w:rsidRDefault="00722FE8" w:rsidP="009B3510">
      <w:pPr>
        <w:widowControl w:val="0"/>
        <w:tabs>
          <w:tab w:val="left" w:pos="2520"/>
        </w:tabs>
        <w:autoSpaceDE w:val="0"/>
        <w:autoSpaceDN w:val="0"/>
        <w:spacing w:before="120" w:after="0" w:line="278" w:lineRule="auto"/>
        <w:ind w:right="386"/>
        <w:jc w:val="both"/>
        <w:rPr>
          <w:sz w:val="24"/>
          <w:szCs w:val="24"/>
        </w:rPr>
      </w:pPr>
    </w:p>
    <w:sectPr w:rsidR="00722FE8" w:rsidRPr="00644083" w:rsidSect="0094004A">
      <w:headerReference w:type="even" r:id="rId11"/>
      <w:footerReference w:type="even" r:id="rId12"/>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C107" w14:textId="77777777" w:rsidR="00730E5A" w:rsidRDefault="00730E5A" w:rsidP="005C0D9E">
      <w:pPr>
        <w:spacing w:after="0" w:line="240" w:lineRule="auto"/>
      </w:pPr>
      <w:r>
        <w:separator/>
      </w:r>
    </w:p>
  </w:endnote>
  <w:endnote w:type="continuationSeparator" w:id="0">
    <w:p w14:paraId="57E7A9BF" w14:textId="77777777" w:rsidR="00730E5A" w:rsidRDefault="00730E5A"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0F15" w14:textId="77777777" w:rsidR="00D51629" w:rsidRDefault="00D5162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1403" w14:textId="77777777" w:rsidR="00730E5A" w:rsidRDefault="00730E5A" w:rsidP="005C0D9E">
      <w:pPr>
        <w:spacing w:after="0" w:line="240" w:lineRule="auto"/>
      </w:pPr>
      <w:r>
        <w:separator/>
      </w:r>
    </w:p>
  </w:footnote>
  <w:footnote w:type="continuationSeparator" w:id="0">
    <w:p w14:paraId="63B1200C" w14:textId="77777777" w:rsidR="00730E5A" w:rsidRDefault="00730E5A" w:rsidP="005C0D9E">
      <w:pPr>
        <w:spacing w:after="0" w:line="240" w:lineRule="auto"/>
      </w:pPr>
      <w:r>
        <w:continuationSeparator/>
      </w:r>
    </w:p>
  </w:footnote>
  <w:footnote w:id="1">
    <w:p w14:paraId="7976AD2C" w14:textId="1DC8C0A0" w:rsidR="0001298E" w:rsidRPr="00C13863" w:rsidRDefault="0001298E" w:rsidP="00C13863">
      <w:pPr>
        <w:pStyle w:val="Notedebasdepage"/>
        <w:jc w:val="both"/>
        <w:rPr>
          <w:lang w:val="en-US"/>
        </w:rPr>
      </w:pPr>
      <w:r>
        <w:rPr>
          <w:rStyle w:val="Appelnotedebasdep"/>
        </w:rPr>
        <w:footnoteRef/>
      </w:r>
      <w:r w:rsidRPr="00C13863">
        <w:rPr>
          <w:lang w:val="en-US"/>
        </w:rPr>
        <w:t xml:space="preserve"> </w:t>
      </w:r>
      <w:proofErr w:type="spellStart"/>
      <w:r w:rsidR="00C13863" w:rsidRPr="00C13863">
        <w:rPr>
          <w:lang w:val="en-US"/>
        </w:rPr>
        <w:t>Voir</w:t>
      </w:r>
      <w:proofErr w:type="spellEnd"/>
      <w:r w:rsidR="00C13863" w:rsidRPr="00C13863">
        <w:rPr>
          <w:lang w:val="en-US"/>
        </w:rPr>
        <w:t xml:space="preserve"> le </w:t>
      </w:r>
      <w:r w:rsidR="004C472F" w:rsidRPr="00C13863">
        <w:rPr>
          <w:lang w:val="en-US"/>
        </w:rPr>
        <w:t>Rapport du GAFI, « </w:t>
      </w:r>
      <w:r w:rsidR="00C13863" w:rsidRPr="00C13863">
        <w:rPr>
          <w:lang w:val="en-US"/>
        </w:rPr>
        <w:t>Money laundering and terrorist financing risks and vulnerabilities associated with gold</w:t>
      </w:r>
      <w:r w:rsidR="00C13863">
        <w:rPr>
          <w:lang w:val="en-US"/>
        </w:rPr>
        <w:t xml:space="preserve">”, </w:t>
      </w:r>
      <w:proofErr w:type="spellStart"/>
      <w:r w:rsidR="00C13863">
        <w:rPr>
          <w:lang w:val="en-US"/>
        </w:rPr>
        <w:t>juillet</w:t>
      </w:r>
      <w:proofErr w:type="spellEnd"/>
      <w:r w:rsidR="00C13863">
        <w:rPr>
          <w:lang w:val="en-US"/>
        </w:rPr>
        <w:t xml:space="preserve"> 2015, </w:t>
      </w:r>
      <w:r w:rsidR="00C13863" w:rsidRPr="00C13863">
        <w:rPr>
          <w:i/>
          <w:iCs/>
          <w:lang w:val="en-US"/>
        </w:rPr>
        <w:t>cf</w:t>
      </w:r>
      <w:r w:rsidR="00C13863">
        <w:rPr>
          <w:lang w:val="en-US"/>
        </w:rPr>
        <w:t xml:space="preserve">. </w:t>
      </w:r>
      <w:hyperlink r:id="rId1" w:history="1">
        <w:r w:rsidR="00C13863" w:rsidRPr="00C13863">
          <w:rPr>
            <w:rStyle w:val="Lienhypertexte"/>
            <w:lang w:val="en-US"/>
          </w:rPr>
          <w:t>Money laundering and terrorist financing risks and vulnerabilities associated with gold (fatf-gafi.org)</w:t>
        </w:r>
      </w:hyperlink>
      <w:r w:rsidR="00C13863" w:rsidRPr="00C13863">
        <w:rPr>
          <w:lang w:val="en-US"/>
        </w:rPr>
        <w:t>.</w:t>
      </w:r>
    </w:p>
  </w:footnote>
  <w:footnote w:id="2">
    <w:p w14:paraId="5D345174" w14:textId="2C8F393C" w:rsidR="00E94F62" w:rsidRPr="00956304" w:rsidRDefault="00E94F62" w:rsidP="00C13863">
      <w:pPr>
        <w:pStyle w:val="Notedebasdepage"/>
        <w:jc w:val="both"/>
      </w:pPr>
      <w:r>
        <w:rPr>
          <w:rStyle w:val="Appelnotedebasdep"/>
        </w:rPr>
        <w:footnoteRef/>
      </w:r>
      <w:r>
        <w:t xml:space="preserve"> </w:t>
      </w:r>
      <w:r w:rsidR="00956304" w:rsidRPr="00BF75B6">
        <w:t xml:space="preserve">Cellule de </w:t>
      </w:r>
      <w:r w:rsidR="00FC5F6E">
        <w:t>renseignement</w:t>
      </w:r>
      <w:r w:rsidR="00956304" w:rsidRPr="00BF75B6">
        <w:t xml:space="preserve"> financier, en </w:t>
      </w:r>
      <w:r w:rsidR="00956304">
        <w:t>Belgique il s’agit de la CTIF.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F835" w14:textId="77777777" w:rsidR="00D51629" w:rsidRDefault="00D51629">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E38EA"/>
    <w:multiLevelType w:val="hybridMultilevel"/>
    <w:tmpl w:val="51441A26"/>
    <w:lvl w:ilvl="0" w:tplc="040C0003">
      <w:start w:val="1"/>
      <w:numFmt w:val="bullet"/>
      <w:lvlText w:val="o"/>
      <w:lvlJc w:val="left"/>
      <w:pPr>
        <w:ind w:left="1434" w:hanging="360"/>
      </w:pPr>
      <w:rPr>
        <w:rFonts w:ascii="Courier New" w:hAnsi="Courier New" w:cs="Courier New"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04046"/>
    <w:multiLevelType w:val="hybridMultilevel"/>
    <w:tmpl w:val="03F8B9E2"/>
    <w:lvl w:ilvl="0" w:tplc="A260B6EE">
      <w:numFmt w:val="bullet"/>
      <w:lvlText w:val=""/>
      <w:lvlJc w:val="left"/>
      <w:pPr>
        <w:ind w:left="1100" w:hanging="229"/>
      </w:pPr>
      <w:rPr>
        <w:rFonts w:ascii="Wingdings" w:eastAsia="Wingdings" w:hAnsi="Wingdings" w:cs="Wingdings" w:hint="default"/>
        <w:b w:val="0"/>
        <w:bCs w:val="0"/>
        <w:i w:val="0"/>
        <w:iCs w:val="0"/>
        <w:color w:val="348092"/>
        <w:w w:val="98"/>
        <w:sz w:val="20"/>
        <w:szCs w:val="20"/>
        <w:lang w:val="fr-FR" w:eastAsia="en-US" w:bidi="ar-SA"/>
      </w:rPr>
    </w:lvl>
    <w:lvl w:ilvl="1" w:tplc="57D27B12">
      <w:numFmt w:val="bullet"/>
      <w:lvlText w:val=""/>
      <w:lvlJc w:val="left"/>
      <w:pPr>
        <w:ind w:left="2520" w:hanging="228"/>
      </w:pPr>
      <w:rPr>
        <w:rFonts w:ascii="Wingdings" w:eastAsia="Wingdings" w:hAnsi="Wingdings" w:cs="Wingdings" w:hint="default"/>
        <w:b w:val="0"/>
        <w:bCs w:val="0"/>
        <w:i w:val="0"/>
        <w:iCs w:val="0"/>
        <w:color w:val="348092"/>
        <w:w w:val="98"/>
        <w:sz w:val="20"/>
        <w:szCs w:val="20"/>
        <w:lang w:val="fr-FR" w:eastAsia="en-US" w:bidi="ar-SA"/>
      </w:rPr>
    </w:lvl>
    <w:lvl w:ilvl="2" w:tplc="0108D094">
      <w:numFmt w:val="bullet"/>
      <w:lvlText w:val="•"/>
      <w:lvlJc w:val="left"/>
      <w:pPr>
        <w:ind w:left="3354" w:hanging="228"/>
      </w:pPr>
      <w:rPr>
        <w:rFonts w:hint="default"/>
        <w:lang w:val="fr-FR" w:eastAsia="en-US" w:bidi="ar-SA"/>
      </w:rPr>
    </w:lvl>
    <w:lvl w:ilvl="3" w:tplc="3304B05A">
      <w:numFmt w:val="bullet"/>
      <w:lvlText w:val="•"/>
      <w:lvlJc w:val="left"/>
      <w:pPr>
        <w:ind w:left="4188" w:hanging="228"/>
      </w:pPr>
      <w:rPr>
        <w:rFonts w:hint="default"/>
        <w:lang w:val="fr-FR" w:eastAsia="en-US" w:bidi="ar-SA"/>
      </w:rPr>
    </w:lvl>
    <w:lvl w:ilvl="4" w:tplc="05F27E34">
      <w:numFmt w:val="bullet"/>
      <w:lvlText w:val="•"/>
      <w:lvlJc w:val="left"/>
      <w:pPr>
        <w:ind w:left="5023" w:hanging="228"/>
      </w:pPr>
      <w:rPr>
        <w:rFonts w:hint="default"/>
        <w:lang w:val="fr-FR" w:eastAsia="en-US" w:bidi="ar-SA"/>
      </w:rPr>
    </w:lvl>
    <w:lvl w:ilvl="5" w:tplc="08920250">
      <w:numFmt w:val="bullet"/>
      <w:lvlText w:val="•"/>
      <w:lvlJc w:val="left"/>
      <w:pPr>
        <w:ind w:left="5857" w:hanging="228"/>
      </w:pPr>
      <w:rPr>
        <w:rFonts w:hint="default"/>
        <w:lang w:val="fr-FR" w:eastAsia="en-US" w:bidi="ar-SA"/>
      </w:rPr>
    </w:lvl>
    <w:lvl w:ilvl="6" w:tplc="0A104DEC">
      <w:numFmt w:val="bullet"/>
      <w:lvlText w:val="•"/>
      <w:lvlJc w:val="left"/>
      <w:pPr>
        <w:ind w:left="6692" w:hanging="228"/>
      </w:pPr>
      <w:rPr>
        <w:rFonts w:hint="default"/>
        <w:lang w:val="fr-FR" w:eastAsia="en-US" w:bidi="ar-SA"/>
      </w:rPr>
    </w:lvl>
    <w:lvl w:ilvl="7" w:tplc="AD227D20">
      <w:numFmt w:val="bullet"/>
      <w:lvlText w:val="•"/>
      <w:lvlJc w:val="left"/>
      <w:pPr>
        <w:ind w:left="7526" w:hanging="228"/>
      </w:pPr>
      <w:rPr>
        <w:rFonts w:hint="default"/>
        <w:lang w:val="fr-FR" w:eastAsia="en-US" w:bidi="ar-SA"/>
      </w:rPr>
    </w:lvl>
    <w:lvl w:ilvl="8" w:tplc="B1F8FE5E">
      <w:numFmt w:val="bullet"/>
      <w:lvlText w:val="•"/>
      <w:lvlJc w:val="left"/>
      <w:pPr>
        <w:ind w:left="8361" w:hanging="228"/>
      </w:pPr>
      <w:rPr>
        <w:rFonts w:hint="default"/>
        <w:lang w:val="fr-FR" w:eastAsia="en-US" w:bidi="ar-SA"/>
      </w:rPr>
    </w:lvl>
  </w:abstractNum>
  <w:abstractNum w:abstractNumId="9"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0A50AA"/>
    <w:multiLevelType w:val="hybridMultilevel"/>
    <w:tmpl w:val="84DE9F0A"/>
    <w:lvl w:ilvl="0" w:tplc="C1D80546">
      <w:start w:val="1"/>
      <w:numFmt w:val="decimal"/>
      <w:lvlText w:val="%1."/>
      <w:lvlJc w:val="left"/>
      <w:pPr>
        <w:ind w:left="1495" w:hanging="1250"/>
      </w:pPr>
      <w:rPr>
        <w:rFonts w:ascii="Calibri" w:eastAsia="Calibri" w:hAnsi="Calibri" w:cs="Calibri" w:hint="default"/>
        <w:b/>
        <w:bCs/>
        <w:i w:val="0"/>
        <w:iCs w:val="0"/>
        <w:color w:val="348092"/>
        <w:spacing w:val="-1"/>
        <w:w w:val="98"/>
        <w:sz w:val="32"/>
        <w:szCs w:val="32"/>
        <w:lang w:val="fr-FR" w:eastAsia="en-US" w:bidi="ar-SA"/>
      </w:rPr>
    </w:lvl>
    <w:lvl w:ilvl="1" w:tplc="D08867E6">
      <w:numFmt w:val="bullet"/>
      <w:lvlText w:val=""/>
      <w:lvlJc w:val="left"/>
      <w:pPr>
        <w:ind w:left="2520" w:hanging="228"/>
      </w:pPr>
      <w:rPr>
        <w:rFonts w:ascii="Wingdings" w:eastAsia="Wingdings" w:hAnsi="Wingdings" w:cs="Wingdings" w:hint="default"/>
        <w:b w:val="0"/>
        <w:bCs w:val="0"/>
        <w:i w:val="0"/>
        <w:iCs w:val="0"/>
        <w:color w:val="348092"/>
        <w:w w:val="98"/>
        <w:sz w:val="20"/>
        <w:szCs w:val="20"/>
        <w:lang w:val="fr-FR" w:eastAsia="en-US" w:bidi="ar-SA"/>
      </w:rPr>
    </w:lvl>
    <w:lvl w:ilvl="2" w:tplc="43604376">
      <w:numFmt w:val="bullet"/>
      <w:lvlText w:val="•"/>
      <w:lvlJc w:val="left"/>
      <w:pPr>
        <w:ind w:left="3354" w:hanging="228"/>
      </w:pPr>
      <w:rPr>
        <w:rFonts w:hint="default"/>
        <w:lang w:val="fr-FR" w:eastAsia="en-US" w:bidi="ar-SA"/>
      </w:rPr>
    </w:lvl>
    <w:lvl w:ilvl="3" w:tplc="9B466AB4">
      <w:numFmt w:val="bullet"/>
      <w:lvlText w:val="•"/>
      <w:lvlJc w:val="left"/>
      <w:pPr>
        <w:ind w:left="4188" w:hanging="228"/>
      </w:pPr>
      <w:rPr>
        <w:rFonts w:hint="default"/>
        <w:lang w:val="fr-FR" w:eastAsia="en-US" w:bidi="ar-SA"/>
      </w:rPr>
    </w:lvl>
    <w:lvl w:ilvl="4" w:tplc="F2E4B21E">
      <w:numFmt w:val="bullet"/>
      <w:lvlText w:val="•"/>
      <w:lvlJc w:val="left"/>
      <w:pPr>
        <w:ind w:left="5023" w:hanging="228"/>
      </w:pPr>
      <w:rPr>
        <w:rFonts w:hint="default"/>
        <w:lang w:val="fr-FR" w:eastAsia="en-US" w:bidi="ar-SA"/>
      </w:rPr>
    </w:lvl>
    <w:lvl w:ilvl="5" w:tplc="975E629A">
      <w:numFmt w:val="bullet"/>
      <w:lvlText w:val="•"/>
      <w:lvlJc w:val="left"/>
      <w:pPr>
        <w:ind w:left="5857" w:hanging="228"/>
      </w:pPr>
      <w:rPr>
        <w:rFonts w:hint="default"/>
        <w:lang w:val="fr-FR" w:eastAsia="en-US" w:bidi="ar-SA"/>
      </w:rPr>
    </w:lvl>
    <w:lvl w:ilvl="6" w:tplc="1B64564E">
      <w:numFmt w:val="bullet"/>
      <w:lvlText w:val="•"/>
      <w:lvlJc w:val="left"/>
      <w:pPr>
        <w:ind w:left="6692" w:hanging="228"/>
      </w:pPr>
      <w:rPr>
        <w:rFonts w:hint="default"/>
        <w:lang w:val="fr-FR" w:eastAsia="en-US" w:bidi="ar-SA"/>
      </w:rPr>
    </w:lvl>
    <w:lvl w:ilvl="7" w:tplc="715C3648">
      <w:numFmt w:val="bullet"/>
      <w:lvlText w:val="•"/>
      <w:lvlJc w:val="left"/>
      <w:pPr>
        <w:ind w:left="7526" w:hanging="228"/>
      </w:pPr>
      <w:rPr>
        <w:rFonts w:hint="default"/>
        <w:lang w:val="fr-FR" w:eastAsia="en-US" w:bidi="ar-SA"/>
      </w:rPr>
    </w:lvl>
    <w:lvl w:ilvl="8" w:tplc="C66C978E">
      <w:numFmt w:val="bullet"/>
      <w:lvlText w:val="•"/>
      <w:lvlJc w:val="left"/>
      <w:pPr>
        <w:ind w:left="8361" w:hanging="228"/>
      </w:pPr>
      <w:rPr>
        <w:rFonts w:hint="default"/>
        <w:lang w:val="fr-FR" w:eastAsia="en-US" w:bidi="ar-SA"/>
      </w:rPr>
    </w:lvl>
  </w:abstractNum>
  <w:abstractNum w:abstractNumId="15"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19"/>
  </w:num>
  <w:num w:numId="2" w16cid:durableId="1495074996">
    <w:abstractNumId w:val="16"/>
  </w:num>
  <w:num w:numId="3" w16cid:durableId="381291445">
    <w:abstractNumId w:val="15"/>
  </w:num>
  <w:num w:numId="4" w16cid:durableId="1843428260">
    <w:abstractNumId w:val="5"/>
  </w:num>
  <w:num w:numId="5" w16cid:durableId="1655335937">
    <w:abstractNumId w:val="13"/>
  </w:num>
  <w:num w:numId="6" w16cid:durableId="198475671">
    <w:abstractNumId w:val="10"/>
  </w:num>
  <w:num w:numId="7" w16cid:durableId="611134263">
    <w:abstractNumId w:val="2"/>
  </w:num>
  <w:num w:numId="8" w16cid:durableId="632636094">
    <w:abstractNumId w:val="11"/>
  </w:num>
  <w:num w:numId="9" w16cid:durableId="1153907962">
    <w:abstractNumId w:val="0"/>
  </w:num>
  <w:num w:numId="10" w16cid:durableId="1269389438">
    <w:abstractNumId w:val="7"/>
  </w:num>
  <w:num w:numId="11" w16cid:durableId="1074813988">
    <w:abstractNumId w:val="3"/>
  </w:num>
  <w:num w:numId="12" w16cid:durableId="491027007">
    <w:abstractNumId w:val="6"/>
  </w:num>
  <w:num w:numId="13" w16cid:durableId="135876604">
    <w:abstractNumId w:val="12"/>
  </w:num>
  <w:num w:numId="14" w16cid:durableId="764348663">
    <w:abstractNumId w:val="9"/>
  </w:num>
  <w:num w:numId="15" w16cid:durableId="838734017">
    <w:abstractNumId w:val="1"/>
  </w:num>
  <w:num w:numId="16" w16cid:durableId="63839980">
    <w:abstractNumId w:val="18"/>
  </w:num>
  <w:num w:numId="17" w16cid:durableId="192156088">
    <w:abstractNumId w:val="17"/>
  </w:num>
  <w:num w:numId="18" w16cid:durableId="1497577348">
    <w:abstractNumId w:val="20"/>
  </w:num>
  <w:num w:numId="19" w16cid:durableId="685836598">
    <w:abstractNumId w:val="4"/>
  </w:num>
  <w:num w:numId="20" w16cid:durableId="520049077">
    <w:abstractNumId w:val="14"/>
  </w:num>
  <w:num w:numId="21" w16cid:durableId="2104378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1298E"/>
    <w:rsid w:val="0002668C"/>
    <w:rsid w:val="000323DC"/>
    <w:rsid w:val="00037554"/>
    <w:rsid w:val="000873ED"/>
    <w:rsid w:val="000D7D38"/>
    <w:rsid w:val="00103098"/>
    <w:rsid w:val="00157DF0"/>
    <w:rsid w:val="001D4603"/>
    <w:rsid w:val="00210757"/>
    <w:rsid w:val="002C692F"/>
    <w:rsid w:val="002D05F2"/>
    <w:rsid w:val="002E49FB"/>
    <w:rsid w:val="002F70BF"/>
    <w:rsid w:val="00393379"/>
    <w:rsid w:val="003A34AB"/>
    <w:rsid w:val="003D648D"/>
    <w:rsid w:val="00413D6F"/>
    <w:rsid w:val="0041709C"/>
    <w:rsid w:val="0045234B"/>
    <w:rsid w:val="004C472F"/>
    <w:rsid w:val="004D39E7"/>
    <w:rsid w:val="004E5650"/>
    <w:rsid w:val="00553816"/>
    <w:rsid w:val="00555982"/>
    <w:rsid w:val="00562CAA"/>
    <w:rsid w:val="005C0D9E"/>
    <w:rsid w:val="005E48F3"/>
    <w:rsid w:val="005F4F4B"/>
    <w:rsid w:val="0061072C"/>
    <w:rsid w:val="00644083"/>
    <w:rsid w:val="00712873"/>
    <w:rsid w:val="00722FE8"/>
    <w:rsid w:val="00730E5A"/>
    <w:rsid w:val="00796377"/>
    <w:rsid w:val="007D19B3"/>
    <w:rsid w:val="00834C71"/>
    <w:rsid w:val="008B43E2"/>
    <w:rsid w:val="00936738"/>
    <w:rsid w:val="0094004A"/>
    <w:rsid w:val="00956304"/>
    <w:rsid w:val="00957F34"/>
    <w:rsid w:val="009707A0"/>
    <w:rsid w:val="00987EF5"/>
    <w:rsid w:val="00987FC2"/>
    <w:rsid w:val="009A378B"/>
    <w:rsid w:val="009B3510"/>
    <w:rsid w:val="009E0D0D"/>
    <w:rsid w:val="00AB7D7E"/>
    <w:rsid w:val="00AE7B54"/>
    <w:rsid w:val="00BA7381"/>
    <w:rsid w:val="00BE5ADC"/>
    <w:rsid w:val="00BF75B6"/>
    <w:rsid w:val="00C13863"/>
    <w:rsid w:val="00C22B8D"/>
    <w:rsid w:val="00C34014"/>
    <w:rsid w:val="00C341C0"/>
    <w:rsid w:val="00C512B4"/>
    <w:rsid w:val="00C71B74"/>
    <w:rsid w:val="00C9070A"/>
    <w:rsid w:val="00CB0A83"/>
    <w:rsid w:val="00D51629"/>
    <w:rsid w:val="00D61CE3"/>
    <w:rsid w:val="00D66117"/>
    <w:rsid w:val="00DE66D2"/>
    <w:rsid w:val="00DF5E99"/>
    <w:rsid w:val="00E05156"/>
    <w:rsid w:val="00E46A15"/>
    <w:rsid w:val="00E81D64"/>
    <w:rsid w:val="00E94F62"/>
    <w:rsid w:val="00F16FDF"/>
    <w:rsid w:val="00F356F8"/>
    <w:rsid w:val="00FC46B1"/>
    <w:rsid w:val="00FC5F6E"/>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Titre1">
    <w:name w:val="heading 1"/>
    <w:basedOn w:val="Normal"/>
    <w:link w:val="Titre1Car"/>
    <w:uiPriority w:val="9"/>
    <w:qFormat/>
    <w:rsid w:val="00157DF0"/>
    <w:pPr>
      <w:widowControl w:val="0"/>
      <w:autoSpaceDE w:val="0"/>
      <w:autoSpaceDN w:val="0"/>
      <w:spacing w:before="134" w:after="0" w:line="240" w:lineRule="auto"/>
      <w:ind w:left="246"/>
      <w:outlineLvl w:val="0"/>
    </w:pPr>
    <w:rPr>
      <w:rFonts w:ascii="Calibri" w:eastAsia="Calibri" w:hAnsi="Calibri" w:cs="Calibri"/>
      <w:b/>
      <w:bCs/>
      <w:sz w:val="32"/>
      <w:szCs w:val="32"/>
      <w:lang w:val="fr-FR"/>
    </w:rPr>
  </w:style>
  <w:style w:type="paragraph" w:styleId="Titre2">
    <w:name w:val="heading 2"/>
    <w:basedOn w:val="Normal"/>
    <w:link w:val="Titre2Car"/>
    <w:uiPriority w:val="9"/>
    <w:unhideWhenUsed/>
    <w:qFormat/>
    <w:rsid w:val="00157DF0"/>
    <w:pPr>
      <w:widowControl w:val="0"/>
      <w:autoSpaceDE w:val="0"/>
      <w:autoSpaceDN w:val="0"/>
      <w:spacing w:after="0" w:line="240" w:lineRule="auto"/>
      <w:ind w:left="246"/>
      <w:outlineLvl w:val="1"/>
    </w:pPr>
    <w:rPr>
      <w:rFonts w:ascii="Calibri" w:eastAsia="Calibri" w:hAnsi="Calibri" w:cs="Calibri"/>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1"/>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character" w:customStyle="1" w:styleId="Titre1Car">
    <w:name w:val="Titre 1 Car"/>
    <w:basedOn w:val="Policepardfaut"/>
    <w:link w:val="Titre1"/>
    <w:uiPriority w:val="9"/>
    <w:rsid w:val="00157DF0"/>
    <w:rPr>
      <w:rFonts w:ascii="Calibri" w:eastAsia="Calibri" w:hAnsi="Calibri" w:cs="Calibri"/>
      <w:b/>
      <w:bCs/>
      <w:sz w:val="32"/>
      <w:szCs w:val="32"/>
    </w:rPr>
  </w:style>
  <w:style w:type="character" w:customStyle="1" w:styleId="Titre2Car">
    <w:name w:val="Titre 2 Car"/>
    <w:basedOn w:val="Policepardfaut"/>
    <w:link w:val="Titre2"/>
    <w:uiPriority w:val="9"/>
    <w:rsid w:val="00157DF0"/>
    <w:rPr>
      <w:rFonts w:ascii="Calibri" w:eastAsia="Calibri" w:hAnsi="Calibri" w:cs="Calibri"/>
      <w:b/>
      <w:bCs/>
      <w:sz w:val="28"/>
      <w:szCs w:val="28"/>
    </w:rPr>
  </w:style>
  <w:style w:type="paragraph" w:styleId="Corpsdetexte">
    <w:name w:val="Body Text"/>
    <w:basedOn w:val="Normal"/>
    <w:link w:val="CorpsdetexteCar"/>
    <w:uiPriority w:val="1"/>
    <w:qFormat/>
    <w:rsid w:val="00157DF0"/>
    <w:pPr>
      <w:widowControl w:val="0"/>
      <w:autoSpaceDE w:val="0"/>
      <w:autoSpaceDN w:val="0"/>
      <w:spacing w:after="0" w:line="240" w:lineRule="auto"/>
    </w:pPr>
    <w:rPr>
      <w:rFonts w:ascii="Cambria" w:eastAsia="Cambria" w:hAnsi="Cambria" w:cs="Cambria"/>
      <w:lang w:val="fr-FR"/>
    </w:rPr>
  </w:style>
  <w:style w:type="character" w:customStyle="1" w:styleId="CorpsdetexteCar">
    <w:name w:val="Corps de texte Car"/>
    <w:basedOn w:val="Policepardfaut"/>
    <w:link w:val="Corpsdetexte"/>
    <w:uiPriority w:val="1"/>
    <w:rsid w:val="00157DF0"/>
    <w:rPr>
      <w:rFonts w:ascii="Cambria" w:eastAsia="Cambria" w:hAnsi="Cambria" w:cs="Cambria"/>
    </w:rPr>
  </w:style>
  <w:style w:type="paragraph" w:styleId="Rvision">
    <w:name w:val="Revision"/>
    <w:hidden/>
    <w:uiPriority w:val="99"/>
    <w:semiHidden/>
    <w:rsid w:val="00987FC2"/>
    <w:pPr>
      <w:spacing w:after="0" w:line="240" w:lineRule="auto"/>
    </w:pPr>
    <w:rPr>
      <w:lang w:val="fr-BE"/>
    </w:rPr>
  </w:style>
  <w:style w:type="character" w:styleId="Marquedecommentaire">
    <w:name w:val="annotation reference"/>
    <w:basedOn w:val="Policepardfaut"/>
    <w:uiPriority w:val="99"/>
    <w:semiHidden/>
    <w:unhideWhenUsed/>
    <w:rsid w:val="00037554"/>
    <w:rPr>
      <w:sz w:val="16"/>
      <w:szCs w:val="16"/>
    </w:rPr>
  </w:style>
  <w:style w:type="paragraph" w:styleId="Commentaire">
    <w:name w:val="annotation text"/>
    <w:basedOn w:val="Normal"/>
    <w:link w:val="CommentaireCar"/>
    <w:uiPriority w:val="99"/>
    <w:unhideWhenUsed/>
    <w:rsid w:val="00037554"/>
    <w:pPr>
      <w:spacing w:line="240" w:lineRule="auto"/>
    </w:pPr>
    <w:rPr>
      <w:sz w:val="20"/>
      <w:szCs w:val="20"/>
    </w:rPr>
  </w:style>
  <w:style w:type="character" w:customStyle="1" w:styleId="CommentaireCar">
    <w:name w:val="Commentaire Car"/>
    <w:basedOn w:val="Policepardfaut"/>
    <w:link w:val="Commentaire"/>
    <w:uiPriority w:val="99"/>
    <w:rsid w:val="00037554"/>
    <w:rPr>
      <w:sz w:val="20"/>
      <w:szCs w:val="20"/>
      <w:lang w:val="fr-BE"/>
    </w:rPr>
  </w:style>
  <w:style w:type="paragraph" w:styleId="Objetducommentaire">
    <w:name w:val="annotation subject"/>
    <w:basedOn w:val="Commentaire"/>
    <w:next w:val="Commentaire"/>
    <w:link w:val="ObjetducommentaireCar"/>
    <w:uiPriority w:val="99"/>
    <w:semiHidden/>
    <w:unhideWhenUsed/>
    <w:rsid w:val="00037554"/>
    <w:rPr>
      <w:b/>
      <w:bCs/>
    </w:rPr>
  </w:style>
  <w:style w:type="character" w:customStyle="1" w:styleId="ObjetducommentaireCar">
    <w:name w:val="Objet du commentaire Car"/>
    <w:basedOn w:val="CommentaireCar"/>
    <w:link w:val="Objetducommentaire"/>
    <w:uiPriority w:val="99"/>
    <w:semiHidden/>
    <w:rsid w:val="0003755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content/fatf-gafi/en/publications/Methodsandtrends/Ml-tf-risks-and-vulnerabilities-gol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2.xml><?xml version="1.0" encoding="utf-8"?>
<ds:datastoreItem xmlns:ds="http://schemas.openxmlformats.org/officeDocument/2006/customXml" ds:itemID="{B4827E64-38C5-4E3B-BACF-88A492C813F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77631410-4CA7-4B23-9FDD-BCE97C78E30A}">
  <ds:schemaRefs>
    <ds:schemaRef ds:uri="http://schemas.microsoft.com/sharepoint/v3/contenttype/forms"/>
  </ds:schemaRefs>
</ds:datastoreItem>
</file>

<file path=customXml/itemProps4.xml><?xml version="1.0" encoding="utf-8"?>
<ds:datastoreItem xmlns:ds="http://schemas.openxmlformats.org/officeDocument/2006/customXml" ds:itemID="{264C6C44-1FB5-4392-B102-123A201A2A13}"/>
</file>

<file path=docProps/app.xml><?xml version="1.0" encoding="utf-8"?>
<Properties xmlns="http://schemas.openxmlformats.org/officeDocument/2006/extended-properties" xmlns:vt="http://schemas.openxmlformats.org/officeDocument/2006/docPropsVTypes">
  <Template>Normal</Template>
  <TotalTime>43</TotalTime>
  <Pages>2</Pages>
  <Words>669</Words>
  <Characters>3818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25</cp:revision>
  <dcterms:created xsi:type="dcterms:W3CDTF">2023-02-22T15:56:00Z</dcterms:created>
  <dcterms:modified xsi:type="dcterms:W3CDTF">2023-08-02T07:41:00Z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